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4563"/>
        <w:gridCol w:w="317"/>
        <w:gridCol w:w="2160"/>
        <w:gridCol w:w="6994"/>
      </w:tblGrid>
      <w:tr w:rsidR="00606DBC" w:rsidRPr="00606DBC" w14:paraId="17452BB3" w14:textId="77777777" w:rsidTr="00606DBC">
        <w:trPr>
          <w:trHeight w:val="58"/>
          <w:jc w:val="center"/>
        </w:trPr>
        <w:tc>
          <w:tcPr>
            <w:tcW w:w="14034" w:type="dxa"/>
            <w:gridSpan w:val="4"/>
            <w:shd w:val="clear" w:color="auto" w:fill="1F497D" w:themeFill="text2"/>
            <w:vAlign w:val="center"/>
          </w:tcPr>
          <w:p w14:paraId="4E57BEF2" w14:textId="24884702" w:rsidR="00606DBC" w:rsidRPr="00606DBC" w:rsidRDefault="00606DBC" w:rsidP="0088739A">
            <w:pPr>
              <w:spacing w:after="0" w:line="240" w:lineRule="auto"/>
              <w:jc w:val="center"/>
              <w:rPr>
                <w:rFonts w:eastAsia="Times New Roman" w:cs="Times New Roman"/>
                <w:b/>
                <w:bCs/>
                <w:sz w:val="32"/>
                <w:szCs w:val="32"/>
              </w:rPr>
            </w:pPr>
            <w:r w:rsidRPr="00606DBC">
              <w:rPr>
                <w:rFonts w:eastAsia="Times New Roman" w:cs="Times New Roman"/>
                <w:b/>
                <w:bCs/>
                <w:color w:val="FFFFFF" w:themeColor="background1"/>
                <w:sz w:val="32"/>
                <w:szCs w:val="32"/>
              </w:rPr>
              <w:t xml:space="preserve">Table </w:t>
            </w:r>
            <w:r w:rsidR="0088739A">
              <w:rPr>
                <w:rFonts w:eastAsia="Times New Roman" w:cs="Times New Roman"/>
                <w:b/>
                <w:bCs/>
                <w:color w:val="FFFFFF" w:themeColor="background1"/>
                <w:sz w:val="32"/>
                <w:szCs w:val="32"/>
              </w:rPr>
              <w:t>o</w:t>
            </w:r>
            <w:r w:rsidRPr="00606DBC">
              <w:rPr>
                <w:rFonts w:eastAsia="Times New Roman" w:cs="Times New Roman"/>
                <w:b/>
                <w:bCs/>
                <w:color w:val="FFFFFF" w:themeColor="background1"/>
                <w:sz w:val="32"/>
                <w:szCs w:val="32"/>
              </w:rPr>
              <w:t>f</w:t>
            </w:r>
            <w:r>
              <w:rPr>
                <w:rFonts w:eastAsia="Times New Roman" w:cs="Times New Roman"/>
                <w:b/>
                <w:bCs/>
                <w:color w:val="FFFFFF" w:themeColor="background1"/>
                <w:sz w:val="32"/>
                <w:szCs w:val="32"/>
              </w:rPr>
              <w:t xml:space="preserve"> Shipboard Working Arrangements </w:t>
            </w:r>
            <w:r w:rsidRPr="00606DBC">
              <w:rPr>
                <w:rFonts w:eastAsia="Times New Roman" w:cs="Times New Roman"/>
                <w:b/>
                <w:bCs/>
                <w:color w:val="FFFFFF" w:themeColor="background1"/>
                <w:sz w:val="32"/>
                <w:szCs w:val="32"/>
              </w:rPr>
              <w:t>Format</w:t>
            </w:r>
            <w:r>
              <w:rPr>
                <w:rStyle w:val="FootnoteReference"/>
                <w:rFonts w:eastAsia="Times New Roman" w:cs="Times New Roman"/>
                <w:b/>
                <w:bCs/>
                <w:color w:val="FFFFFF" w:themeColor="background1"/>
                <w:sz w:val="32"/>
                <w:szCs w:val="32"/>
              </w:rPr>
              <w:footnoteReference w:id="1"/>
            </w:r>
          </w:p>
        </w:tc>
      </w:tr>
      <w:tr w:rsidR="00606DBC" w:rsidRPr="00606DBC" w14:paraId="4A441F51" w14:textId="77777777" w:rsidTr="00606DBC">
        <w:trPr>
          <w:trHeight w:val="58"/>
          <w:jc w:val="center"/>
        </w:trPr>
        <w:tc>
          <w:tcPr>
            <w:tcW w:w="14034" w:type="dxa"/>
            <w:gridSpan w:val="4"/>
            <w:tcBorders>
              <w:right w:val="single" w:sz="4" w:space="0" w:color="1F497D" w:themeColor="text2"/>
            </w:tcBorders>
            <w:vAlign w:val="center"/>
          </w:tcPr>
          <w:p w14:paraId="76A24529" w14:textId="77777777" w:rsidR="00606DBC" w:rsidRPr="00606DBC" w:rsidRDefault="00606DBC" w:rsidP="00606DBC">
            <w:pPr>
              <w:tabs>
                <w:tab w:val="left" w:pos="720"/>
                <w:tab w:val="left" w:pos="1440"/>
              </w:tabs>
              <w:spacing w:after="0" w:line="240" w:lineRule="auto"/>
              <w:rPr>
                <w:rFonts w:eastAsia="Times New Roman" w:cs="Times New Roman"/>
                <w:sz w:val="10"/>
                <w:szCs w:val="10"/>
              </w:rPr>
            </w:pPr>
          </w:p>
        </w:tc>
      </w:tr>
      <w:tr w:rsidR="00BF0267" w:rsidRPr="00606DBC" w14:paraId="7F2FB4B6" w14:textId="77777777" w:rsidTr="005367B3">
        <w:trPr>
          <w:trHeight w:val="318"/>
          <w:jc w:val="center"/>
        </w:trPr>
        <w:tc>
          <w:tcPr>
            <w:tcW w:w="4880" w:type="dxa"/>
            <w:gridSpan w:val="2"/>
            <w:vAlign w:val="center"/>
          </w:tcPr>
          <w:p w14:paraId="5A07FE56" w14:textId="64F68AA6" w:rsidR="00BF0267" w:rsidRPr="00606DBC" w:rsidRDefault="00BF0267"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Name of ship</w:t>
            </w:r>
          </w:p>
        </w:tc>
        <w:tc>
          <w:tcPr>
            <w:tcW w:w="2160" w:type="dxa"/>
            <w:vAlign w:val="center"/>
          </w:tcPr>
          <w:p w14:paraId="7FB51822" w14:textId="37F955DE" w:rsidR="00BF0267" w:rsidRPr="00606DBC" w:rsidRDefault="00BF0267" w:rsidP="00606DBC">
            <w:pPr>
              <w:tabs>
                <w:tab w:val="left" w:pos="720"/>
                <w:tab w:val="left" w:pos="1440"/>
              </w:tabs>
              <w:spacing w:after="0" w:line="240" w:lineRule="auto"/>
              <w:jc w:val="center"/>
              <w:rPr>
                <w:rFonts w:eastAsia="Times New Roman" w:cs="Times New Roman"/>
                <w:sz w:val="20"/>
                <w:szCs w:val="20"/>
              </w:rPr>
            </w:pPr>
            <w:r>
              <w:rPr>
                <w:rFonts w:eastAsia="Times New Roman" w:cs="Times New Roman"/>
                <w:sz w:val="20"/>
                <w:szCs w:val="20"/>
              </w:rPr>
              <w:t>IMO number</w:t>
            </w:r>
            <w:r w:rsidRPr="00606DBC">
              <w:rPr>
                <w:rFonts w:eastAsia="Times New Roman" w:cs="Times New Roman"/>
                <w:sz w:val="20"/>
                <w:szCs w:val="20"/>
              </w:rPr>
              <w:t>:</w:t>
            </w:r>
          </w:p>
        </w:tc>
        <w:tc>
          <w:tcPr>
            <w:tcW w:w="6994" w:type="dxa"/>
            <w:vAlign w:val="center"/>
          </w:tcPr>
          <w:p w14:paraId="616BC9F5" w14:textId="722489A9" w:rsidR="00BF0267" w:rsidRPr="00606DBC" w:rsidRDefault="00BF0267" w:rsidP="00BF0267">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Latest update of table:</w:t>
            </w:r>
          </w:p>
        </w:tc>
      </w:tr>
      <w:tr w:rsidR="00BF0267" w:rsidRPr="00606DBC" w14:paraId="4A3E041E" w14:textId="77777777" w:rsidTr="00DC73A8">
        <w:trPr>
          <w:trHeight w:val="58"/>
          <w:jc w:val="center"/>
        </w:trPr>
        <w:tc>
          <w:tcPr>
            <w:tcW w:w="4880" w:type="dxa"/>
            <w:gridSpan w:val="2"/>
          </w:tcPr>
          <w:p w14:paraId="0075E67D" w14:textId="4952EFDB" w:rsidR="00BF0267" w:rsidRPr="00606DBC" w:rsidRDefault="00BF0267"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fldChar w:fldCharType="begin">
                <w:ffData>
                  <w:name w:val="Text1"/>
                  <w:enabled/>
                  <w:calcOnExit w:val="0"/>
                  <w:textInput/>
                </w:ffData>
              </w:fldChar>
            </w:r>
            <w:r w:rsidRPr="00606DBC">
              <w:rPr>
                <w:rFonts w:eastAsia="Times New Roman" w:cs="Times New Roman"/>
                <w:sz w:val="20"/>
                <w:szCs w:val="20"/>
              </w:rPr>
              <w:instrText xml:space="preserve"> FORMTEXT </w:instrText>
            </w:r>
            <w:r w:rsidRPr="00606DBC">
              <w:rPr>
                <w:rFonts w:eastAsia="Times New Roman" w:cs="Times New Roman"/>
                <w:sz w:val="20"/>
                <w:szCs w:val="20"/>
              </w:rPr>
            </w:r>
            <w:r w:rsidRPr="00606DBC">
              <w:rPr>
                <w:rFonts w:eastAsia="Times New Roman" w:cs="Times New Roman"/>
                <w:sz w:val="20"/>
                <w:szCs w:val="20"/>
              </w:rPr>
              <w:fldChar w:fldCharType="separate"/>
            </w:r>
            <w:bookmarkStart w:id="0" w:name="_GoBack"/>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bookmarkEnd w:id="0"/>
            <w:r w:rsidRPr="00606DBC">
              <w:rPr>
                <w:rFonts w:eastAsia="Times New Roman" w:cs="Times New Roman"/>
                <w:sz w:val="20"/>
                <w:szCs w:val="20"/>
              </w:rPr>
              <w:fldChar w:fldCharType="end"/>
            </w:r>
          </w:p>
        </w:tc>
        <w:tc>
          <w:tcPr>
            <w:tcW w:w="2160" w:type="dxa"/>
          </w:tcPr>
          <w:p w14:paraId="22671577" w14:textId="07B52CED" w:rsidR="00BF0267" w:rsidRPr="00606DBC" w:rsidRDefault="00BF0267"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fldChar w:fldCharType="begin">
                <w:ffData>
                  <w:name w:val="Text1"/>
                  <w:enabled/>
                  <w:calcOnExit w:val="0"/>
                  <w:textInput/>
                </w:ffData>
              </w:fldChar>
            </w:r>
            <w:r w:rsidRPr="00606DBC">
              <w:rPr>
                <w:rFonts w:eastAsia="Times New Roman" w:cs="Times New Roman"/>
                <w:sz w:val="20"/>
                <w:szCs w:val="20"/>
              </w:rPr>
              <w:instrText xml:space="preserve"> FORMTEXT </w:instrText>
            </w:r>
            <w:r w:rsidRPr="00606DBC">
              <w:rPr>
                <w:rFonts w:eastAsia="Times New Roman" w:cs="Times New Roman"/>
                <w:sz w:val="20"/>
                <w:szCs w:val="20"/>
              </w:rPr>
            </w:r>
            <w:r w:rsidRPr="00606DBC">
              <w:rPr>
                <w:rFonts w:eastAsia="Times New Roman" w:cs="Times New Roman"/>
                <w:sz w:val="20"/>
                <w:szCs w:val="20"/>
              </w:rPr>
              <w:fldChar w:fldCharType="separate"/>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sz w:val="20"/>
                <w:szCs w:val="20"/>
              </w:rPr>
              <w:fldChar w:fldCharType="end"/>
            </w:r>
          </w:p>
        </w:tc>
        <w:tc>
          <w:tcPr>
            <w:tcW w:w="6994" w:type="dxa"/>
          </w:tcPr>
          <w:p w14:paraId="67AF46DA" w14:textId="4721D959" w:rsidR="00BF0267" w:rsidRPr="00606DBC" w:rsidRDefault="00BF0267"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fldChar w:fldCharType="begin">
                <w:ffData>
                  <w:name w:val="Text1"/>
                  <w:enabled/>
                  <w:calcOnExit w:val="0"/>
                  <w:textInput/>
                </w:ffData>
              </w:fldChar>
            </w:r>
            <w:r w:rsidRPr="00606DBC">
              <w:rPr>
                <w:rFonts w:eastAsia="Times New Roman" w:cs="Times New Roman"/>
                <w:sz w:val="20"/>
                <w:szCs w:val="20"/>
              </w:rPr>
              <w:instrText xml:space="preserve"> FORMTEXT </w:instrText>
            </w:r>
            <w:r w:rsidRPr="00606DBC">
              <w:rPr>
                <w:rFonts w:eastAsia="Times New Roman" w:cs="Times New Roman"/>
                <w:sz w:val="20"/>
                <w:szCs w:val="20"/>
              </w:rPr>
            </w:r>
            <w:r w:rsidRPr="00606DBC">
              <w:rPr>
                <w:rFonts w:eastAsia="Times New Roman" w:cs="Times New Roman"/>
                <w:sz w:val="20"/>
                <w:szCs w:val="20"/>
              </w:rPr>
              <w:fldChar w:fldCharType="separate"/>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sz w:val="20"/>
                <w:szCs w:val="20"/>
              </w:rPr>
              <w:fldChar w:fldCharType="end"/>
            </w:r>
          </w:p>
        </w:tc>
      </w:tr>
      <w:tr w:rsidR="00BF0267" w:rsidRPr="00606DBC" w14:paraId="7E3D8B59" w14:textId="77777777" w:rsidTr="00606DBC">
        <w:trPr>
          <w:trHeight w:val="58"/>
          <w:jc w:val="center"/>
        </w:trPr>
        <w:tc>
          <w:tcPr>
            <w:tcW w:w="14034" w:type="dxa"/>
            <w:gridSpan w:val="4"/>
          </w:tcPr>
          <w:p w14:paraId="15B28FA6" w14:textId="70E213B8" w:rsidR="00BF0267" w:rsidRPr="00BF0267" w:rsidRDefault="00BF0267" w:rsidP="00BF0267">
            <w:pPr>
              <w:tabs>
                <w:tab w:val="left" w:pos="720"/>
                <w:tab w:val="left" w:pos="1440"/>
              </w:tabs>
              <w:spacing w:after="0" w:line="240" w:lineRule="auto"/>
              <w:jc w:val="both"/>
            </w:pPr>
            <w:r w:rsidRPr="00BF0267">
              <w:t>The maximum hours of work or minimum hours of rest are in accordance with Shipping (Safe Manning, Watchkeeping and Hours of Work) Regulations, 2001 issued in conformity with ILO’s Seafarers’ Hours of Work and the Manning of Ships’ Convention 996 (No.180) and with any applicable collective agreement registered or authorised in accordance with that Convention and the International Convention on Standards of Training, Certification and Watchkeeping for Seafarers, 1978, as amended (STCW Convention)</w:t>
            </w:r>
            <w:bookmarkStart w:id="1" w:name="_Hlk150508432"/>
            <w:r w:rsidRPr="00BF0267">
              <w:rPr>
                <w:vertAlign w:val="superscript"/>
              </w:rPr>
              <w:footnoteReference w:id="2"/>
            </w:r>
            <w:bookmarkEnd w:id="1"/>
            <w:r w:rsidRPr="00BF0267">
              <w:t>.</w:t>
            </w:r>
          </w:p>
        </w:tc>
      </w:tr>
      <w:tr w:rsidR="00606DBC" w:rsidRPr="00606DBC" w14:paraId="3D9A18B4" w14:textId="77777777" w:rsidTr="00BF0267">
        <w:trPr>
          <w:trHeight w:val="58"/>
          <w:jc w:val="center"/>
        </w:trPr>
        <w:tc>
          <w:tcPr>
            <w:tcW w:w="4563" w:type="dxa"/>
          </w:tcPr>
          <w:p w14:paraId="16B5E13E" w14:textId="362819C2" w:rsidR="00606DBC" w:rsidRPr="00606DBC" w:rsidRDefault="00606DBC" w:rsidP="00606DBC">
            <w:pPr>
              <w:tabs>
                <w:tab w:val="left" w:pos="720"/>
                <w:tab w:val="left" w:pos="1440"/>
              </w:tabs>
              <w:spacing w:after="0" w:line="240" w:lineRule="auto"/>
              <w:jc w:val="both"/>
              <w:rPr>
                <w:rFonts w:eastAsia="Times New Roman" w:cs="Times New Roman"/>
                <w:sz w:val="20"/>
                <w:szCs w:val="20"/>
              </w:rPr>
            </w:pPr>
            <w:r w:rsidRPr="00606DBC">
              <w:rPr>
                <w:rFonts w:eastAsia="Times New Roman" w:cs="Times New Roman"/>
                <w:sz w:val="20"/>
                <w:szCs w:val="20"/>
              </w:rPr>
              <w:t>Maximum hours o</w:t>
            </w:r>
            <w:r>
              <w:rPr>
                <w:rFonts w:eastAsia="Times New Roman" w:cs="Times New Roman"/>
                <w:sz w:val="20"/>
                <w:szCs w:val="20"/>
              </w:rPr>
              <w:t>f work or minimum hours of rest</w:t>
            </w:r>
            <w:bookmarkStart w:id="2" w:name="_Ref151192990"/>
            <w:r w:rsidR="00BF0267">
              <w:rPr>
                <w:rStyle w:val="FootnoteReference"/>
                <w:rFonts w:ascii="Calibri" w:hAnsi="Calibri"/>
                <w:sz w:val="20"/>
                <w:szCs w:val="20"/>
              </w:rPr>
              <w:footnoteReference w:id="3"/>
            </w:r>
            <w:bookmarkEnd w:id="2"/>
          </w:p>
        </w:tc>
        <w:tc>
          <w:tcPr>
            <w:tcW w:w="9471" w:type="dxa"/>
            <w:gridSpan w:val="3"/>
          </w:tcPr>
          <w:p w14:paraId="1D1B5BB6" w14:textId="12C5C1C2" w:rsidR="00606DBC" w:rsidRPr="00606DBC" w:rsidRDefault="00606DBC" w:rsidP="00606DBC">
            <w:pPr>
              <w:tabs>
                <w:tab w:val="left" w:pos="720"/>
                <w:tab w:val="left" w:pos="1440"/>
              </w:tabs>
              <w:spacing w:after="0" w:line="240" w:lineRule="auto"/>
              <w:jc w:val="both"/>
              <w:rPr>
                <w:rFonts w:eastAsia="Times New Roman" w:cs="Times New Roman"/>
                <w:sz w:val="20"/>
                <w:szCs w:val="20"/>
              </w:rPr>
            </w:pPr>
            <w:r w:rsidRPr="00606DBC">
              <w:rPr>
                <w:rFonts w:eastAsia="Times New Roman" w:cs="Times New Roman"/>
                <w:sz w:val="20"/>
                <w:szCs w:val="20"/>
              </w:rPr>
              <w:fldChar w:fldCharType="begin">
                <w:ffData>
                  <w:name w:val="Text1"/>
                  <w:enabled/>
                  <w:calcOnExit w:val="0"/>
                  <w:textInput/>
                </w:ffData>
              </w:fldChar>
            </w:r>
            <w:r w:rsidRPr="00606DBC">
              <w:rPr>
                <w:rFonts w:eastAsia="Times New Roman" w:cs="Times New Roman"/>
                <w:sz w:val="20"/>
                <w:szCs w:val="20"/>
              </w:rPr>
              <w:instrText xml:space="preserve"> FORMTEXT </w:instrText>
            </w:r>
            <w:r w:rsidRPr="00606DBC">
              <w:rPr>
                <w:rFonts w:eastAsia="Times New Roman" w:cs="Times New Roman"/>
                <w:sz w:val="20"/>
                <w:szCs w:val="20"/>
              </w:rPr>
            </w:r>
            <w:r w:rsidRPr="00606DBC">
              <w:rPr>
                <w:rFonts w:eastAsia="Times New Roman" w:cs="Times New Roman"/>
                <w:sz w:val="20"/>
                <w:szCs w:val="20"/>
              </w:rPr>
              <w:fldChar w:fldCharType="separate"/>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sz w:val="20"/>
                <w:szCs w:val="20"/>
              </w:rPr>
              <w:fldChar w:fldCharType="end"/>
            </w:r>
          </w:p>
        </w:tc>
      </w:tr>
      <w:tr w:rsidR="00606DBC" w:rsidRPr="00606DBC" w14:paraId="1F36CB21" w14:textId="77777777" w:rsidTr="00BF0267">
        <w:trPr>
          <w:trHeight w:val="58"/>
          <w:jc w:val="center"/>
        </w:trPr>
        <w:tc>
          <w:tcPr>
            <w:tcW w:w="4563" w:type="dxa"/>
          </w:tcPr>
          <w:p w14:paraId="1F7BF538" w14:textId="2ACBDA8F" w:rsidR="00606DBC" w:rsidRPr="00606DBC" w:rsidRDefault="00606DBC" w:rsidP="00606DBC">
            <w:pPr>
              <w:tabs>
                <w:tab w:val="left" w:pos="720"/>
                <w:tab w:val="left" w:pos="1440"/>
              </w:tabs>
              <w:spacing w:after="0" w:line="240" w:lineRule="auto"/>
              <w:jc w:val="both"/>
              <w:rPr>
                <w:rFonts w:eastAsia="Times New Roman" w:cs="Times New Roman"/>
                <w:sz w:val="20"/>
                <w:szCs w:val="20"/>
              </w:rPr>
            </w:pPr>
            <w:r w:rsidRPr="00606DBC">
              <w:rPr>
                <w:rFonts w:eastAsia="Times New Roman" w:cs="Times New Roman"/>
                <w:sz w:val="20"/>
                <w:szCs w:val="20"/>
              </w:rPr>
              <w:t>Other requirements:</w:t>
            </w:r>
          </w:p>
        </w:tc>
        <w:tc>
          <w:tcPr>
            <w:tcW w:w="9471" w:type="dxa"/>
            <w:gridSpan w:val="3"/>
          </w:tcPr>
          <w:p w14:paraId="717B3896" w14:textId="44743F15" w:rsidR="00606DBC" w:rsidRPr="00606DBC" w:rsidRDefault="00606DBC" w:rsidP="00606DBC">
            <w:pPr>
              <w:tabs>
                <w:tab w:val="left" w:pos="720"/>
                <w:tab w:val="left" w:pos="1440"/>
              </w:tabs>
              <w:spacing w:after="0" w:line="240" w:lineRule="auto"/>
              <w:jc w:val="both"/>
              <w:rPr>
                <w:rFonts w:eastAsia="Times New Roman" w:cs="Times New Roman"/>
                <w:sz w:val="20"/>
                <w:szCs w:val="20"/>
              </w:rPr>
            </w:pPr>
            <w:r w:rsidRPr="00606DBC">
              <w:rPr>
                <w:rFonts w:eastAsia="Times New Roman" w:cs="Times New Roman"/>
                <w:sz w:val="20"/>
                <w:szCs w:val="20"/>
              </w:rPr>
              <w:fldChar w:fldCharType="begin">
                <w:ffData>
                  <w:name w:val="Text1"/>
                  <w:enabled/>
                  <w:calcOnExit w:val="0"/>
                  <w:textInput/>
                </w:ffData>
              </w:fldChar>
            </w:r>
            <w:r w:rsidRPr="00606DBC">
              <w:rPr>
                <w:rFonts w:eastAsia="Times New Roman" w:cs="Times New Roman"/>
                <w:sz w:val="20"/>
                <w:szCs w:val="20"/>
              </w:rPr>
              <w:instrText xml:space="preserve"> FORMTEXT </w:instrText>
            </w:r>
            <w:r w:rsidRPr="00606DBC">
              <w:rPr>
                <w:rFonts w:eastAsia="Times New Roman" w:cs="Times New Roman"/>
                <w:sz w:val="20"/>
                <w:szCs w:val="20"/>
              </w:rPr>
            </w:r>
            <w:r w:rsidRPr="00606DBC">
              <w:rPr>
                <w:rFonts w:eastAsia="Times New Roman" w:cs="Times New Roman"/>
                <w:sz w:val="20"/>
                <w:szCs w:val="20"/>
              </w:rPr>
              <w:fldChar w:fldCharType="separate"/>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noProof/>
                <w:sz w:val="20"/>
                <w:szCs w:val="20"/>
              </w:rPr>
              <w:t> </w:t>
            </w:r>
            <w:r w:rsidRPr="00606DBC">
              <w:rPr>
                <w:rFonts w:eastAsia="Times New Roman" w:cs="Times New Roman"/>
                <w:sz w:val="20"/>
                <w:szCs w:val="20"/>
              </w:rPr>
              <w:fldChar w:fldCharType="end"/>
            </w:r>
          </w:p>
        </w:tc>
      </w:tr>
    </w:tbl>
    <w:p w14:paraId="0228BBC2" w14:textId="77777777" w:rsidR="00BF0267" w:rsidRPr="00BF0267" w:rsidRDefault="00BF0267" w:rsidP="00BF0267">
      <w:pPr>
        <w:spacing w:after="0"/>
        <w:rPr>
          <w:sz w:val="10"/>
          <w:szCs w:val="10"/>
        </w:rPr>
      </w:pPr>
    </w:p>
    <w:tbl>
      <w:tblPr>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754"/>
        <w:gridCol w:w="1754"/>
        <w:gridCol w:w="1754"/>
        <w:gridCol w:w="1755"/>
        <w:gridCol w:w="1754"/>
        <w:gridCol w:w="1754"/>
        <w:gridCol w:w="1754"/>
        <w:gridCol w:w="1755"/>
      </w:tblGrid>
      <w:tr w:rsidR="00606DBC" w:rsidRPr="00606DBC" w14:paraId="1B789DE0" w14:textId="77777777" w:rsidTr="00606DBC">
        <w:trPr>
          <w:trHeight w:val="58"/>
          <w:jc w:val="center"/>
        </w:trPr>
        <w:tc>
          <w:tcPr>
            <w:tcW w:w="1754" w:type="dxa"/>
            <w:vMerge w:val="restart"/>
            <w:vAlign w:val="center"/>
          </w:tcPr>
          <w:p w14:paraId="76086EB1" w14:textId="6ACCC521"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Pr>
                <w:rFonts w:eastAsia="Times New Roman" w:cs="Times New Roman"/>
                <w:sz w:val="20"/>
                <w:szCs w:val="20"/>
              </w:rPr>
              <w:t>Position/Rank</w:t>
            </w:r>
            <w:r w:rsidR="00BF0267">
              <w:rPr>
                <w:rStyle w:val="FootnoteReference"/>
                <w:rFonts w:ascii="Calibri" w:hAnsi="Calibri"/>
                <w:sz w:val="20"/>
                <w:szCs w:val="20"/>
              </w:rPr>
              <w:footnoteReference w:id="4"/>
            </w:r>
          </w:p>
        </w:tc>
        <w:tc>
          <w:tcPr>
            <w:tcW w:w="3508" w:type="dxa"/>
            <w:gridSpan w:val="2"/>
            <w:vAlign w:val="center"/>
          </w:tcPr>
          <w:p w14:paraId="4A37C072" w14:textId="6A8454DE"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Scheduled daily work hours at sea</w:t>
            </w:r>
          </w:p>
        </w:tc>
        <w:tc>
          <w:tcPr>
            <w:tcW w:w="3509" w:type="dxa"/>
            <w:gridSpan w:val="2"/>
            <w:vAlign w:val="center"/>
          </w:tcPr>
          <w:p w14:paraId="15AB3A24" w14:textId="5BA67EF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Scheduled daily work hours in port</w:t>
            </w:r>
          </w:p>
        </w:tc>
        <w:tc>
          <w:tcPr>
            <w:tcW w:w="1754" w:type="dxa"/>
            <w:vMerge w:val="restart"/>
            <w:vAlign w:val="center"/>
          </w:tcPr>
          <w:p w14:paraId="64E23305" w14:textId="3C1B7170"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Comments</w:t>
            </w:r>
          </w:p>
        </w:tc>
        <w:tc>
          <w:tcPr>
            <w:tcW w:w="3509" w:type="dxa"/>
            <w:gridSpan w:val="2"/>
            <w:vAlign w:val="center"/>
          </w:tcPr>
          <w:p w14:paraId="5A58CB35" w14:textId="50855910"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Total daily work/rest hours</w:t>
            </w:r>
            <w:r w:rsidR="00BF0267" w:rsidRPr="00FE078F">
              <w:rPr>
                <w:rFonts w:ascii="Calibri" w:hAnsi="Calibri"/>
                <w:sz w:val="20"/>
                <w:szCs w:val="20"/>
                <w:vertAlign w:val="superscript"/>
              </w:rPr>
              <w:fldChar w:fldCharType="begin"/>
            </w:r>
            <w:r w:rsidR="00BF0267" w:rsidRPr="00FE078F">
              <w:rPr>
                <w:rFonts w:ascii="Calibri" w:hAnsi="Calibri"/>
                <w:sz w:val="20"/>
                <w:szCs w:val="20"/>
                <w:vertAlign w:val="superscript"/>
              </w:rPr>
              <w:instrText xml:space="preserve"> NOTEREF _Ref151192990 \h </w:instrText>
            </w:r>
            <w:r w:rsidR="00BF0267">
              <w:rPr>
                <w:rFonts w:ascii="Calibri" w:hAnsi="Calibri"/>
                <w:sz w:val="20"/>
                <w:szCs w:val="20"/>
                <w:vertAlign w:val="superscript"/>
              </w:rPr>
              <w:instrText xml:space="preserve"> \* MERGEFORMAT </w:instrText>
            </w:r>
            <w:r w:rsidR="00BF0267" w:rsidRPr="00FE078F">
              <w:rPr>
                <w:rFonts w:ascii="Calibri" w:hAnsi="Calibri"/>
                <w:sz w:val="20"/>
                <w:szCs w:val="20"/>
                <w:vertAlign w:val="superscript"/>
              </w:rPr>
            </w:r>
            <w:r w:rsidR="00BF0267" w:rsidRPr="00FE078F">
              <w:rPr>
                <w:rFonts w:ascii="Calibri" w:hAnsi="Calibri"/>
                <w:sz w:val="20"/>
                <w:szCs w:val="20"/>
                <w:vertAlign w:val="superscript"/>
              </w:rPr>
              <w:fldChar w:fldCharType="separate"/>
            </w:r>
            <w:r w:rsidR="00BF0267" w:rsidRPr="00FE078F">
              <w:rPr>
                <w:rFonts w:ascii="Calibri" w:hAnsi="Calibri"/>
                <w:sz w:val="20"/>
                <w:szCs w:val="20"/>
                <w:vertAlign w:val="superscript"/>
              </w:rPr>
              <w:t>3</w:t>
            </w:r>
            <w:r w:rsidR="00BF0267" w:rsidRPr="00FE078F">
              <w:rPr>
                <w:rFonts w:ascii="Calibri" w:hAnsi="Calibri"/>
                <w:sz w:val="20"/>
                <w:szCs w:val="20"/>
                <w:vertAlign w:val="superscript"/>
              </w:rPr>
              <w:fldChar w:fldCharType="end"/>
            </w:r>
          </w:p>
        </w:tc>
      </w:tr>
      <w:tr w:rsidR="00606DBC" w:rsidRPr="00606DBC" w14:paraId="51C07752" w14:textId="77777777" w:rsidTr="00606DBC">
        <w:trPr>
          <w:trHeight w:val="58"/>
          <w:jc w:val="center"/>
        </w:trPr>
        <w:tc>
          <w:tcPr>
            <w:tcW w:w="1754" w:type="dxa"/>
            <w:vMerge/>
            <w:vAlign w:val="center"/>
          </w:tcPr>
          <w:p w14:paraId="2D5920A9"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p>
        </w:tc>
        <w:tc>
          <w:tcPr>
            <w:tcW w:w="1754" w:type="dxa"/>
            <w:vAlign w:val="center"/>
          </w:tcPr>
          <w:p w14:paraId="36B48628"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Watchkeeping</w:t>
            </w:r>
          </w:p>
          <w:p w14:paraId="4F46BBB3" w14:textId="468B8EE9"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(from – to)</w:t>
            </w:r>
          </w:p>
        </w:tc>
        <w:tc>
          <w:tcPr>
            <w:tcW w:w="1754" w:type="dxa"/>
            <w:vAlign w:val="center"/>
          </w:tcPr>
          <w:p w14:paraId="177990F7"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Non-Watchkeeping Duties</w:t>
            </w:r>
          </w:p>
          <w:p w14:paraId="679BA6BB" w14:textId="756D0BB1"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(from – to)</w:t>
            </w:r>
            <w:bookmarkStart w:id="4" w:name="_Ref151198709"/>
            <w:r w:rsidR="00BF0267">
              <w:rPr>
                <w:rStyle w:val="FootnoteReference"/>
                <w:rFonts w:ascii="Calibri" w:hAnsi="Calibri"/>
                <w:sz w:val="20"/>
                <w:szCs w:val="20"/>
              </w:rPr>
              <w:footnoteReference w:id="5"/>
            </w:r>
            <w:bookmarkEnd w:id="4"/>
          </w:p>
        </w:tc>
        <w:tc>
          <w:tcPr>
            <w:tcW w:w="1755" w:type="dxa"/>
            <w:vAlign w:val="center"/>
          </w:tcPr>
          <w:p w14:paraId="5680D656"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Watchkeeping</w:t>
            </w:r>
          </w:p>
          <w:p w14:paraId="59583291" w14:textId="27AB96A8"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(from – to)</w:t>
            </w:r>
          </w:p>
        </w:tc>
        <w:tc>
          <w:tcPr>
            <w:tcW w:w="1754" w:type="dxa"/>
            <w:vAlign w:val="center"/>
          </w:tcPr>
          <w:p w14:paraId="48BF3DCA"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Non-Watchkeeping Duties</w:t>
            </w:r>
          </w:p>
          <w:p w14:paraId="2798CE54" w14:textId="0D5A01C6"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Pr>
                <w:rFonts w:eastAsia="Times New Roman" w:cs="Times New Roman"/>
                <w:sz w:val="20"/>
                <w:szCs w:val="20"/>
              </w:rPr>
              <w:t>(from – to)</w:t>
            </w:r>
            <w:r w:rsidR="00BF0267" w:rsidRPr="00B022C2">
              <w:rPr>
                <w:rFonts w:ascii="Calibri" w:hAnsi="Calibri"/>
                <w:sz w:val="20"/>
                <w:szCs w:val="20"/>
                <w:vertAlign w:val="superscript"/>
              </w:rPr>
              <w:fldChar w:fldCharType="begin"/>
            </w:r>
            <w:r w:rsidR="00BF0267" w:rsidRPr="00B022C2">
              <w:rPr>
                <w:rFonts w:ascii="Calibri" w:hAnsi="Calibri"/>
                <w:sz w:val="20"/>
                <w:szCs w:val="20"/>
                <w:vertAlign w:val="superscript"/>
              </w:rPr>
              <w:instrText xml:space="preserve"> NOTEREF _Ref151198709 \h </w:instrText>
            </w:r>
            <w:r w:rsidR="00BF0267">
              <w:rPr>
                <w:rFonts w:ascii="Calibri" w:hAnsi="Calibri"/>
                <w:sz w:val="20"/>
                <w:szCs w:val="20"/>
                <w:vertAlign w:val="superscript"/>
              </w:rPr>
              <w:instrText xml:space="preserve"> \* MERGEFORMAT </w:instrText>
            </w:r>
            <w:r w:rsidR="00BF0267" w:rsidRPr="00B022C2">
              <w:rPr>
                <w:rFonts w:ascii="Calibri" w:hAnsi="Calibri"/>
                <w:sz w:val="20"/>
                <w:szCs w:val="20"/>
                <w:vertAlign w:val="superscript"/>
              </w:rPr>
            </w:r>
            <w:r w:rsidR="00BF0267" w:rsidRPr="00B022C2">
              <w:rPr>
                <w:rFonts w:ascii="Calibri" w:hAnsi="Calibri"/>
                <w:sz w:val="20"/>
                <w:szCs w:val="20"/>
                <w:vertAlign w:val="superscript"/>
              </w:rPr>
              <w:fldChar w:fldCharType="separate"/>
            </w:r>
            <w:r w:rsidR="00BF0267" w:rsidRPr="00B022C2">
              <w:rPr>
                <w:rFonts w:ascii="Calibri" w:hAnsi="Calibri"/>
                <w:sz w:val="20"/>
                <w:szCs w:val="20"/>
                <w:vertAlign w:val="superscript"/>
              </w:rPr>
              <w:t>5</w:t>
            </w:r>
            <w:r w:rsidR="00BF0267" w:rsidRPr="00B022C2">
              <w:rPr>
                <w:rFonts w:ascii="Calibri" w:hAnsi="Calibri"/>
                <w:sz w:val="20"/>
                <w:szCs w:val="20"/>
                <w:vertAlign w:val="superscript"/>
              </w:rPr>
              <w:fldChar w:fldCharType="end"/>
            </w:r>
          </w:p>
        </w:tc>
        <w:tc>
          <w:tcPr>
            <w:tcW w:w="1754" w:type="dxa"/>
            <w:vMerge/>
            <w:vAlign w:val="center"/>
          </w:tcPr>
          <w:p w14:paraId="2C302457" w14:textId="77777777" w:rsidR="00606DBC" w:rsidRPr="00606DBC" w:rsidRDefault="00606DBC" w:rsidP="00606DBC">
            <w:pPr>
              <w:tabs>
                <w:tab w:val="left" w:pos="720"/>
                <w:tab w:val="left" w:pos="1440"/>
              </w:tabs>
              <w:spacing w:after="0" w:line="240" w:lineRule="auto"/>
              <w:jc w:val="center"/>
              <w:rPr>
                <w:rFonts w:eastAsia="Times New Roman" w:cs="Times New Roman"/>
                <w:sz w:val="20"/>
                <w:szCs w:val="20"/>
              </w:rPr>
            </w:pPr>
          </w:p>
        </w:tc>
        <w:tc>
          <w:tcPr>
            <w:tcW w:w="1754" w:type="dxa"/>
            <w:vAlign w:val="center"/>
          </w:tcPr>
          <w:p w14:paraId="4DEEDD72" w14:textId="346C92C4"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At sea</w:t>
            </w:r>
          </w:p>
        </w:tc>
        <w:tc>
          <w:tcPr>
            <w:tcW w:w="1755" w:type="dxa"/>
            <w:vAlign w:val="center"/>
          </w:tcPr>
          <w:p w14:paraId="5FB22EF6" w14:textId="1B710352" w:rsidR="00606DBC" w:rsidRPr="00606DBC" w:rsidRDefault="00606DBC" w:rsidP="00606DBC">
            <w:pPr>
              <w:tabs>
                <w:tab w:val="left" w:pos="720"/>
                <w:tab w:val="left" w:pos="1440"/>
              </w:tabs>
              <w:spacing w:after="0" w:line="240" w:lineRule="auto"/>
              <w:jc w:val="center"/>
              <w:rPr>
                <w:rFonts w:eastAsia="Times New Roman" w:cs="Times New Roman"/>
                <w:sz w:val="20"/>
                <w:szCs w:val="20"/>
              </w:rPr>
            </w:pPr>
            <w:r w:rsidRPr="00606DBC">
              <w:rPr>
                <w:rFonts w:eastAsia="Times New Roman" w:cs="Times New Roman"/>
                <w:sz w:val="20"/>
                <w:szCs w:val="20"/>
              </w:rPr>
              <w:t>In port</w:t>
            </w:r>
          </w:p>
        </w:tc>
      </w:tr>
      <w:tr w:rsidR="00606DBC" w:rsidRPr="00606DBC" w14:paraId="4CA554C4" w14:textId="77777777" w:rsidTr="00606DBC">
        <w:trPr>
          <w:trHeight w:val="58"/>
          <w:jc w:val="center"/>
        </w:trPr>
        <w:tc>
          <w:tcPr>
            <w:tcW w:w="1754" w:type="dxa"/>
          </w:tcPr>
          <w:p w14:paraId="654A5263"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6F479F91"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29C1645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7B32BEA8"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64C9328F"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5A577C9"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07F119B6"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47741DB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5A3A7605" w14:textId="77777777" w:rsidTr="00606DBC">
        <w:trPr>
          <w:trHeight w:val="58"/>
          <w:jc w:val="center"/>
        </w:trPr>
        <w:tc>
          <w:tcPr>
            <w:tcW w:w="1754" w:type="dxa"/>
          </w:tcPr>
          <w:p w14:paraId="28675D37"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206FBC55"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998C8F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7561AB0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EEA1D1B"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66B6342"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0CBBBA2"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32EA1BD5"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0712F969" w14:textId="77777777" w:rsidTr="00606DBC">
        <w:trPr>
          <w:trHeight w:val="58"/>
          <w:jc w:val="center"/>
        </w:trPr>
        <w:tc>
          <w:tcPr>
            <w:tcW w:w="1754" w:type="dxa"/>
          </w:tcPr>
          <w:p w14:paraId="114B988E"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C282A99"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BF6ED19"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5AF2B6C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2C5B540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6B25E1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3CF726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0864335C"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4E69111E" w14:textId="77777777" w:rsidTr="00606DBC">
        <w:trPr>
          <w:trHeight w:val="58"/>
          <w:jc w:val="center"/>
        </w:trPr>
        <w:tc>
          <w:tcPr>
            <w:tcW w:w="1754" w:type="dxa"/>
          </w:tcPr>
          <w:p w14:paraId="31167BD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69A88C7"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17E1CA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4E1EDF48"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1689D1C"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55FE76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B3C5485"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54835BE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4F9AD7AB" w14:textId="77777777" w:rsidTr="00606DBC">
        <w:trPr>
          <w:trHeight w:val="58"/>
          <w:jc w:val="center"/>
        </w:trPr>
        <w:tc>
          <w:tcPr>
            <w:tcW w:w="1754" w:type="dxa"/>
          </w:tcPr>
          <w:p w14:paraId="7F97ADB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8F124F7"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6241AEE"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4229F866"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F2B3606"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7C45D46"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633AF8C8"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6866ECE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3056899E" w14:textId="77777777" w:rsidTr="00606DBC">
        <w:trPr>
          <w:trHeight w:val="58"/>
          <w:jc w:val="center"/>
        </w:trPr>
        <w:tc>
          <w:tcPr>
            <w:tcW w:w="1754" w:type="dxa"/>
          </w:tcPr>
          <w:p w14:paraId="64B042A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8FAC4CE"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275D0A8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3768870C"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011BA31"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0320B3AF"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899F7C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65C421EE"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2A936613" w14:textId="77777777" w:rsidTr="00606DBC">
        <w:trPr>
          <w:trHeight w:val="58"/>
          <w:jc w:val="center"/>
        </w:trPr>
        <w:tc>
          <w:tcPr>
            <w:tcW w:w="1754" w:type="dxa"/>
          </w:tcPr>
          <w:p w14:paraId="428CD451"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2FB9FF78"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0D8A627B"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10F0D1E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01B0DD11"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91D825B"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7C1ECB34"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44667B42"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58978713" w14:textId="77777777" w:rsidTr="00606DBC">
        <w:trPr>
          <w:trHeight w:val="58"/>
          <w:jc w:val="center"/>
        </w:trPr>
        <w:tc>
          <w:tcPr>
            <w:tcW w:w="1754" w:type="dxa"/>
          </w:tcPr>
          <w:p w14:paraId="6ACCDE8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0824F2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223E1F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25A177AF"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E794712"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DA856D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4E18D6D1"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29F5DFC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1701236B" w14:textId="77777777" w:rsidTr="00606DBC">
        <w:trPr>
          <w:trHeight w:val="58"/>
          <w:jc w:val="center"/>
        </w:trPr>
        <w:tc>
          <w:tcPr>
            <w:tcW w:w="1754" w:type="dxa"/>
          </w:tcPr>
          <w:p w14:paraId="6055BD65"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44FB736"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1134858F"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26F48AD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0E7FA71D"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523AB5D0"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4" w:type="dxa"/>
          </w:tcPr>
          <w:p w14:paraId="315DC1D5"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c>
          <w:tcPr>
            <w:tcW w:w="1755" w:type="dxa"/>
          </w:tcPr>
          <w:p w14:paraId="74E1D6FA"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1AA7119F" w14:textId="77777777" w:rsidTr="00BF0267">
        <w:trPr>
          <w:trHeight w:val="599"/>
          <w:jc w:val="center"/>
        </w:trPr>
        <w:tc>
          <w:tcPr>
            <w:tcW w:w="14034" w:type="dxa"/>
            <w:gridSpan w:val="8"/>
          </w:tcPr>
          <w:p w14:paraId="367DFEDC" w14:textId="77777777" w:rsidR="00606DBC" w:rsidRPr="00606DBC" w:rsidRDefault="00606DBC" w:rsidP="00606DBC">
            <w:pPr>
              <w:tabs>
                <w:tab w:val="left" w:pos="720"/>
                <w:tab w:val="left" w:pos="1440"/>
              </w:tabs>
              <w:spacing w:after="0" w:line="240" w:lineRule="auto"/>
              <w:jc w:val="both"/>
              <w:rPr>
                <w:rFonts w:eastAsia="Times New Roman" w:cs="Times New Roman"/>
                <w:sz w:val="20"/>
                <w:szCs w:val="20"/>
              </w:rPr>
            </w:pPr>
          </w:p>
        </w:tc>
      </w:tr>
      <w:tr w:rsidR="00606DBC" w:rsidRPr="00606DBC" w14:paraId="4432B1F9" w14:textId="77777777" w:rsidTr="00606DBC">
        <w:trPr>
          <w:trHeight w:val="58"/>
          <w:jc w:val="center"/>
        </w:trPr>
        <w:tc>
          <w:tcPr>
            <w:tcW w:w="14034" w:type="dxa"/>
            <w:gridSpan w:val="8"/>
          </w:tcPr>
          <w:p w14:paraId="7ED4C912" w14:textId="0F703124" w:rsidR="00606DBC" w:rsidRPr="00606DBC" w:rsidRDefault="00606DBC" w:rsidP="00606DBC">
            <w:pPr>
              <w:tabs>
                <w:tab w:val="left" w:pos="720"/>
                <w:tab w:val="left" w:pos="1440"/>
              </w:tabs>
              <w:spacing w:after="0" w:line="240" w:lineRule="auto"/>
              <w:jc w:val="center"/>
              <w:rPr>
                <w:rFonts w:eastAsia="Times New Roman" w:cs="Times New Roman"/>
                <w:i/>
                <w:sz w:val="20"/>
                <w:szCs w:val="20"/>
              </w:rPr>
            </w:pPr>
            <w:r w:rsidRPr="00606DBC">
              <w:rPr>
                <w:rFonts w:eastAsia="Times New Roman" w:cs="Times New Roman"/>
                <w:i/>
                <w:sz w:val="20"/>
                <w:szCs w:val="20"/>
              </w:rPr>
              <w:t>Master’s Signature</w:t>
            </w:r>
          </w:p>
        </w:tc>
      </w:tr>
    </w:tbl>
    <w:p w14:paraId="501E37F4" w14:textId="77777777" w:rsidR="00B52E7C" w:rsidRPr="00606DBC" w:rsidRDefault="00B52E7C" w:rsidP="00B52E7C">
      <w:pPr>
        <w:spacing w:after="0" w:line="240" w:lineRule="auto"/>
        <w:rPr>
          <w:rFonts w:cstheme="minorHAnsi"/>
          <w:sz w:val="20"/>
          <w:szCs w:val="20"/>
        </w:rPr>
      </w:pPr>
    </w:p>
    <w:p w14:paraId="117EED38" w14:textId="24227CF1" w:rsidR="000A79E8" w:rsidRPr="00BF0267" w:rsidRDefault="000A79E8" w:rsidP="00BF0267">
      <w:pPr>
        <w:spacing w:after="0" w:line="240" w:lineRule="auto"/>
        <w:ind w:right="-20"/>
        <w:jc w:val="center"/>
        <w:rPr>
          <w:rFonts w:eastAsia="Times New Roman" w:cstheme="minorHAnsi"/>
          <w:b/>
          <w:sz w:val="19"/>
          <w:szCs w:val="19"/>
        </w:rPr>
      </w:pPr>
      <w:r w:rsidRPr="00BF0267">
        <w:rPr>
          <w:rFonts w:eastAsia="Times New Roman" w:cstheme="minorHAnsi"/>
          <w:b/>
          <w:color w:val="231F20"/>
          <w:sz w:val="19"/>
          <w:szCs w:val="19"/>
        </w:rPr>
        <w:lastRenderedPageBreak/>
        <w:t>Selected</w:t>
      </w:r>
      <w:r w:rsidRPr="00BF0267">
        <w:rPr>
          <w:rFonts w:eastAsia="Times New Roman" w:cstheme="minorHAnsi"/>
          <w:b/>
          <w:color w:val="231F20"/>
          <w:spacing w:val="21"/>
          <w:sz w:val="19"/>
          <w:szCs w:val="19"/>
        </w:rPr>
        <w:t xml:space="preserve"> </w:t>
      </w:r>
      <w:r w:rsidRPr="00BF0267">
        <w:rPr>
          <w:rFonts w:eastAsia="Times New Roman" w:cstheme="minorHAnsi"/>
          <w:b/>
          <w:color w:val="231F20"/>
          <w:sz w:val="19"/>
          <w:szCs w:val="19"/>
        </w:rPr>
        <w:t>texts</w:t>
      </w:r>
      <w:r w:rsidRPr="00BF0267">
        <w:rPr>
          <w:rFonts w:eastAsia="Times New Roman" w:cstheme="minorHAnsi"/>
          <w:b/>
          <w:color w:val="231F20"/>
          <w:spacing w:val="37"/>
          <w:sz w:val="19"/>
          <w:szCs w:val="19"/>
        </w:rPr>
        <w:t xml:space="preserve"> </w:t>
      </w:r>
      <w:r w:rsidRPr="00BF0267">
        <w:rPr>
          <w:rFonts w:eastAsia="Times New Roman" w:cstheme="minorHAnsi"/>
          <w:b/>
          <w:color w:val="231F20"/>
          <w:sz w:val="19"/>
          <w:szCs w:val="19"/>
        </w:rPr>
        <w:t>from</w:t>
      </w:r>
      <w:r w:rsidRPr="00BF0267">
        <w:rPr>
          <w:rFonts w:eastAsia="Times New Roman" w:cstheme="minorHAnsi"/>
          <w:b/>
          <w:color w:val="231F20"/>
          <w:spacing w:val="19"/>
          <w:sz w:val="19"/>
          <w:szCs w:val="19"/>
        </w:rPr>
        <w:t xml:space="preserve"> </w:t>
      </w:r>
      <w:r w:rsidRPr="00BF0267">
        <w:rPr>
          <w:rFonts w:eastAsia="Times New Roman" w:cstheme="minorHAnsi"/>
          <w:b/>
          <w:color w:val="231F20"/>
          <w:sz w:val="19"/>
          <w:szCs w:val="19"/>
        </w:rPr>
        <w:t xml:space="preserve">ILO </w:t>
      </w:r>
      <w:r w:rsidRPr="00BF0267">
        <w:rPr>
          <w:rFonts w:eastAsia="Times New Roman" w:cstheme="minorHAnsi"/>
          <w:b/>
          <w:color w:val="231F20"/>
          <w:spacing w:val="2"/>
          <w:sz w:val="19"/>
          <w:szCs w:val="19"/>
        </w:rPr>
        <w:t xml:space="preserve"> </w:t>
      </w:r>
      <w:r w:rsidRPr="00BF0267">
        <w:rPr>
          <w:rFonts w:eastAsia="Times New Roman" w:cstheme="minorHAnsi"/>
          <w:b/>
          <w:color w:val="231F20"/>
          <w:sz w:val="19"/>
          <w:szCs w:val="19"/>
        </w:rPr>
        <w:t>Convention</w:t>
      </w:r>
      <w:r w:rsidRPr="00BF0267">
        <w:rPr>
          <w:rFonts w:eastAsia="Times New Roman" w:cstheme="minorHAnsi"/>
          <w:b/>
          <w:color w:val="231F20"/>
          <w:spacing w:val="5"/>
          <w:sz w:val="19"/>
          <w:szCs w:val="19"/>
        </w:rPr>
        <w:t xml:space="preserve"> </w:t>
      </w:r>
      <w:r w:rsidRPr="00BF0267">
        <w:rPr>
          <w:rFonts w:eastAsia="Times New Roman" w:cstheme="minorHAnsi"/>
          <w:b/>
          <w:color w:val="231F20"/>
          <w:sz w:val="19"/>
          <w:szCs w:val="19"/>
        </w:rPr>
        <w:t>180</w:t>
      </w:r>
      <w:r w:rsidRPr="00BF0267">
        <w:rPr>
          <w:rFonts w:eastAsia="Times New Roman" w:cstheme="minorHAnsi"/>
          <w:b/>
          <w:color w:val="231F20"/>
          <w:spacing w:val="12"/>
          <w:sz w:val="19"/>
          <w:szCs w:val="19"/>
        </w:rPr>
        <w:t xml:space="preserve"> </w:t>
      </w:r>
      <w:r w:rsidRPr="00BF0267">
        <w:rPr>
          <w:rFonts w:eastAsia="Times New Roman" w:cstheme="minorHAnsi"/>
          <w:b/>
          <w:color w:val="231F20"/>
          <w:sz w:val="19"/>
          <w:szCs w:val="19"/>
        </w:rPr>
        <w:t>and</w:t>
      </w:r>
      <w:r w:rsidRPr="00BF0267">
        <w:rPr>
          <w:rFonts w:eastAsia="Times New Roman" w:cstheme="minorHAnsi"/>
          <w:b/>
          <w:color w:val="231F20"/>
          <w:spacing w:val="20"/>
          <w:sz w:val="19"/>
          <w:szCs w:val="19"/>
        </w:rPr>
        <w:t xml:space="preserve"> </w:t>
      </w:r>
      <w:r w:rsidRPr="00BF0267">
        <w:rPr>
          <w:rFonts w:eastAsia="Times New Roman" w:cstheme="minorHAnsi"/>
          <w:b/>
          <w:color w:val="231F20"/>
          <w:sz w:val="19"/>
          <w:szCs w:val="19"/>
        </w:rPr>
        <w:t>the</w:t>
      </w:r>
      <w:r w:rsidRPr="00BF0267">
        <w:rPr>
          <w:rFonts w:eastAsia="Times New Roman" w:cstheme="minorHAnsi"/>
          <w:b/>
          <w:color w:val="231F20"/>
          <w:spacing w:val="20"/>
          <w:sz w:val="19"/>
          <w:szCs w:val="19"/>
        </w:rPr>
        <w:t xml:space="preserve"> </w:t>
      </w:r>
      <w:r w:rsidRPr="00BF0267">
        <w:rPr>
          <w:rFonts w:eastAsia="Times New Roman" w:cstheme="minorHAnsi"/>
          <w:b/>
          <w:color w:val="231F20"/>
          <w:sz w:val="19"/>
          <w:szCs w:val="19"/>
        </w:rPr>
        <w:t>STCW</w:t>
      </w:r>
      <w:r w:rsidR="00606DBC" w:rsidRPr="00BF0267">
        <w:rPr>
          <w:rFonts w:eastAsia="Times New Roman" w:cstheme="minorHAnsi"/>
          <w:b/>
          <w:color w:val="231F20"/>
          <w:spacing w:val="47"/>
          <w:sz w:val="19"/>
          <w:szCs w:val="19"/>
        </w:rPr>
        <w:t xml:space="preserve"> </w:t>
      </w:r>
      <w:r w:rsidRPr="00BF0267">
        <w:rPr>
          <w:rFonts w:eastAsia="Times New Roman" w:cstheme="minorHAnsi"/>
          <w:b/>
          <w:color w:val="231F20"/>
          <w:sz w:val="19"/>
          <w:szCs w:val="19"/>
        </w:rPr>
        <w:t>Convention</w:t>
      </w:r>
    </w:p>
    <w:p w14:paraId="4D5F45F3" w14:textId="77777777" w:rsidR="000A79E8" w:rsidRPr="00BF0267" w:rsidRDefault="000A79E8" w:rsidP="00BF0267">
      <w:pPr>
        <w:spacing w:after="0" w:line="260" w:lineRule="exact"/>
        <w:jc w:val="both"/>
        <w:rPr>
          <w:rFonts w:cstheme="minorHAnsi"/>
          <w:sz w:val="18"/>
          <w:szCs w:val="18"/>
        </w:rPr>
      </w:pPr>
    </w:p>
    <w:p w14:paraId="5B0B557D" w14:textId="77777777" w:rsidR="000A79E8" w:rsidRPr="00BF0267" w:rsidRDefault="000A79E8" w:rsidP="00BF0267">
      <w:pPr>
        <w:spacing w:after="0" w:line="240" w:lineRule="auto"/>
        <w:ind w:right="-20"/>
        <w:jc w:val="both"/>
        <w:rPr>
          <w:rFonts w:eastAsia="Times New Roman" w:cstheme="minorHAnsi"/>
          <w:b/>
          <w:sz w:val="19"/>
          <w:szCs w:val="19"/>
        </w:rPr>
      </w:pPr>
      <w:r w:rsidRPr="00BF0267">
        <w:rPr>
          <w:rFonts w:eastAsia="Times New Roman" w:cstheme="minorHAnsi"/>
          <w:b/>
          <w:color w:val="231F20"/>
          <w:sz w:val="19"/>
          <w:szCs w:val="19"/>
        </w:rPr>
        <w:t xml:space="preserve">ILO </w:t>
      </w:r>
      <w:r w:rsidRPr="00BF0267">
        <w:rPr>
          <w:rFonts w:eastAsia="Times New Roman" w:cstheme="minorHAnsi"/>
          <w:b/>
          <w:color w:val="231F20"/>
          <w:spacing w:val="2"/>
          <w:sz w:val="19"/>
          <w:szCs w:val="19"/>
        </w:rPr>
        <w:t xml:space="preserve"> </w:t>
      </w:r>
      <w:r w:rsidRPr="00BF0267">
        <w:rPr>
          <w:rFonts w:eastAsia="Times New Roman" w:cstheme="minorHAnsi"/>
          <w:b/>
          <w:color w:val="231F20"/>
          <w:sz w:val="19"/>
          <w:szCs w:val="19"/>
        </w:rPr>
        <w:t>Convention</w:t>
      </w:r>
      <w:r w:rsidRPr="00BF0267">
        <w:rPr>
          <w:rFonts w:eastAsia="Times New Roman" w:cstheme="minorHAnsi"/>
          <w:b/>
          <w:color w:val="231F20"/>
          <w:spacing w:val="6"/>
          <w:sz w:val="19"/>
          <w:szCs w:val="19"/>
        </w:rPr>
        <w:t xml:space="preserve"> </w:t>
      </w:r>
      <w:r w:rsidRPr="00BF0267">
        <w:rPr>
          <w:rFonts w:eastAsia="Times New Roman" w:cstheme="minorHAnsi"/>
          <w:b/>
          <w:color w:val="231F20"/>
          <w:sz w:val="19"/>
          <w:szCs w:val="19"/>
        </w:rPr>
        <w:t>180</w:t>
      </w:r>
    </w:p>
    <w:p w14:paraId="5CDB90EC" w14:textId="77777777" w:rsidR="000A79E8" w:rsidRPr="00BF0267" w:rsidRDefault="000A79E8" w:rsidP="00BF0267">
      <w:pPr>
        <w:spacing w:after="0" w:line="110" w:lineRule="exact"/>
        <w:jc w:val="both"/>
        <w:rPr>
          <w:rFonts w:cstheme="minorHAnsi"/>
          <w:sz w:val="18"/>
          <w:szCs w:val="18"/>
        </w:rPr>
      </w:pPr>
    </w:p>
    <w:p w14:paraId="3C0A122B" w14:textId="77777777" w:rsidR="00BF0267" w:rsidRPr="00BF0267" w:rsidRDefault="00BF0267" w:rsidP="00BF0267">
      <w:pPr>
        <w:spacing w:after="0" w:line="251" w:lineRule="auto"/>
        <w:ind w:left="1560" w:right="66" w:hanging="1560"/>
        <w:jc w:val="both"/>
        <w:rPr>
          <w:rFonts w:ascii="Calibri" w:hAnsi="Calibri"/>
          <w:sz w:val="18"/>
          <w:szCs w:val="18"/>
        </w:rPr>
      </w:pPr>
      <w:r w:rsidRPr="00BF0267">
        <w:rPr>
          <w:rFonts w:ascii="Calibri" w:hAnsi="Calibri"/>
          <w:sz w:val="18"/>
          <w:szCs w:val="18"/>
        </w:rPr>
        <w:t>Art.  5 paragraph 1</w:t>
      </w:r>
      <w:r w:rsidRPr="00BF0267">
        <w:rPr>
          <w:rFonts w:ascii="Calibri" w:hAnsi="Calibri"/>
          <w:sz w:val="18"/>
          <w:szCs w:val="18"/>
        </w:rPr>
        <w:tab/>
        <w:t>The limits on hours of work or rest shall be as follows: (a) maximum hours of work shall not exceed: (i) 14 hours in any 24-hour period; and (ii) 72 hours in any 7-day period;  or (b) minimum  hours  of rest shall not  be less than:  (i) 10 hours  in any 24-hour  period;  and (ii) 77 hours  in any 7-day period.</w:t>
      </w:r>
    </w:p>
    <w:p w14:paraId="6967DFF3" w14:textId="6ACE88DA" w:rsidR="00BF0267" w:rsidRPr="00BF0267" w:rsidRDefault="0088739A" w:rsidP="00BF0267">
      <w:pPr>
        <w:spacing w:after="0" w:line="251" w:lineRule="auto"/>
        <w:ind w:left="1560" w:right="66" w:hanging="1560"/>
        <w:jc w:val="both"/>
        <w:rPr>
          <w:rFonts w:ascii="Calibri" w:hAnsi="Calibri"/>
          <w:sz w:val="18"/>
          <w:szCs w:val="18"/>
        </w:rPr>
      </w:pPr>
      <w:r>
        <w:rPr>
          <w:rFonts w:ascii="Calibri" w:hAnsi="Calibri"/>
          <w:sz w:val="18"/>
          <w:szCs w:val="18"/>
        </w:rPr>
        <w:t>Art.  5 paragraph 2</w:t>
      </w:r>
      <w:r>
        <w:rPr>
          <w:rFonts w:ascii="Calibri" w:hAnsi="Calibri"/>
          <w:sz w:val="18"/>
          <w:szCs w:val="18"/>
        </w:rPr>
        <w:tab/>
        <w:t>Hours</w:t>
      </w:r>
      <w:r w:rsidR="00BF0267" w:rsidRPr="00BF0267">
        <w:rPr>
          <w:rFonts w:ascii="Calibri" w:hAnsi="Calibri"/>
          <w:sz w:val="18"/>
          <w:szCs w:val="18"/>
        </w:rPr>
        <w:t xml:space="preserve"> of rest may be divided into no more</w:t>
      </w:r>
      <w:r>
        <w:rPr>
          <w:rFonts w:ascii="Calibri" w:hAnsi="Calibri"/>
          <w:sz w:val="18"/>
          <w:szCs w:val="18"/>
        </w:rPr>
        <w:t xml:space="preserve"> than two periods, one of which </w:t>
      </w:r>
      <w:r w:rsidR="00BF0267" w:rsidRPr="00BF0267">
        <w:rPr>
          <w:rFonts w:ascii="Calibri" w:hAnsi="Calibri"/>
          <w:sz w:val="18"/>
          <w:szCs w:val="18"/>
        </w:rPr>
        <w:t>shall be at least 6 hours in length, and the interval between consecu</w:t>
      </w:r>
      <w:r>
        <w:rPr>
          <w:rFonts w:ascii="Calibri" w:hAnsi="Calibri"/>
          <w:sz w:val="18"/>
          <w:szCs w:val="18"/>
        </w:rPr>
        <w:t>tive periods of rest shall not</w:t>
      </w:r>
      <w:r w:rsidR="00BF0267" w:rsidRPr="00BF0267">
        <w:rPr>
          <w:rFonts w:ascii="Calibri" w:hAnsi="Calibri"/>
          <w:sz w:val="18"/>
          <w:szCs w:val="18"/>
        </w:rPr>
        <w:t xml:space="preserve"> exceed 14 hours.</w:t>
      </w:r>
    </w:p>
    <w:p w14:paraId="51074F6F" w14:textId="395BB3F6" w:rsidR="00BF0267" w:rsidRPr="00BF0267" w:rsidRDefault="00BF0267" w:rsidP="00BF0267">
      <w:pPr>
        <w:spacing w:after="0" w:line="251" w:lineRule="auto"/>
        <w:ind w:left="1560" w:right="66" w:hanging="1560"/>
        <w:jc w:val="both"/>
        <w:rPr>
          <w:rFonts w:ascii="Calibri" w:hAnsi="Calibri"/>
          <w:sz w:val="18"/>
          <w:szCs w:val="18"/>
        </w:rPr>
      </w:pPr>
      <w:r w:rsidRPr="00BF0267">
        <w:rPr>
          <w:rFonts w:ascii="Calibri" w:hAnsi="Calibri"/>
          <w:sz w:val="18"/>
          <w:szCs w:val="18"/>
        </w:rPr>
        <w:t>Art.  5 paragraph 6</w:t>
      </w:r>
      <w:r w:rsidRPr="00BF0267">
        <w:rPr>
          <w:rFonts w:ascii="Calibri" w:hAnsi="Calibri"/>
          <w:sz w:val="18"/>
          <w:szCs w:val="18"/>
        </w:rPr>
        <w:tab/>
        <w:t>Nothing in paragraphs 1 and 2 shall prevent the Member from having national laws or regulations o</w:t>
      </w:r>
      <w:r w:rsidR="0088739A">
        <w:rPr>
          <w:rFonts w:ascii="Calibri" w:hAnsi="Calibri"/>
          <w:sz w:val="18"/>
          <w:szCs w:val="18"/>
        </w:rPr>
        <w:t xml:space="preserve">r a procedure for the competent authority to authorize </w:t>
      </w:r>
      <w:r w:rsidRPr="00BF0267">
        <w:rPr>
          <w:rFonts w:ascii="Calibri" w:hAnsi="Calibri"/>
          <w:sz w:val="18"/>
          <w:szCs w:val="18"/>
        </w:rPr>
        <w:t>or register collective agreements</w:t>
      </w:r>
      <w:r w:rsidR="0088739A">
        <w:rPr>
          <w:rFonts w:ascii="Calibri" w:hAnsi="Calibri"/>
          <w:sz w:val="18"/>
          <w:szCs w:val="18"/>
        </w:rPr>
        <w:t xml:space="preserve"> permitting </w:t>
      </w:r>
      <w:r w:rsidRPr="00BF0267">
        <w:rPr>
          <w:rFonts w:ascii="Calibri" w:hAnsi="Calibri"/>
          <w:sz w:val="18"/>
          <w:szCs w:val="18"/>
        </w:rPr>
        <w:t>exceptions to the limits set out. Such exceptions shall, as far as possible, follow the standard</w:t>
      </w:r>
      <w:r w:rsidR="0088739A">
        <w:rPr>
          <w:rFonts w:ascii="Calibri" w:hAnsi="Calibri"/>
          <w:sz w:val="18"/>
          <w:szCs w:val="18"/>
        </w:rPr>
        <w:t xml:space="preserve">s set out but may take account of more frequent or longer leave periods or the granting </w:t>
      </w:r>
      <w:r w:rsidRPr="00BF0267">
        <w:rPr>
          <w:rFonts w:ascii="Calibri" w:hAnsi="Calibri"/>
          <w:sz w:val="18"/>
          <w:szCs w:val="18"/>
        </w:rPr>
        <w:t>of compensatory l</w:t>
      </w:r>
      <w:r w:rsidR="0088739A">
        <w:rPr>
          <w:rFonts w:ascii="Calibri" w:hAnsi="Calibri"/>
          <w:sz w:val="18"/>
          <w:szCs w:val="18"/>
        </w:rPr>
        <w:t>eave for watchkeeping seafarers</w:t>
      </w:r>
      <w:r w:rsidRPr="00BF0267">
        <w:rPr>
          <w:rFonts w:ascii="Calibri" w:hAnsi="Calibri"/>
          <w:sz w:val="18"/>
          <w:szCs w:val="18"/>
        </w:rPr>
        <w:t xml:space="preserve"> or s</w:t>
      </w:r>
      <w:r w:rsidR="0088739A">
        <w:rPr>
          <w:rFonts w:ascii="Calibri" w:hAnsi="Calibri"/>
          <w:sz w:val="18"/>
          <w:szCs w:val="18"/>
        </w:rPr>
        <w:t xml:space="preserve">eafarers working </w:t>
      </w:r>
      <w:r w:rsidRPr="00BF0267">
        <w:rPr>
          <w:rFonts w:ascii="Calibri" w:hAnsi="Calibri"/>
          <w:sz w:val="18"/>
          <w:szCs w:val="18"/>
        </w:rPr>
        <w:t>on board  ships on short  voyages.</w:t>
      </w:r>
    </w:p>
    <w:p w14:paraId="207F2D38" w14:textId="77777777" w:rsidR="00BF0267" w:rsidRPr="00BF0267" w:rsidRDefault="00BF0267" w:rsidP="00BF0267">
      <w:pPr>
        <w:spacing w:after="0" w:line="251" w:lineRule="auto"/>
        <w:ind w:left="1560" w:right="66" w:hanging="1560"/>
        <w:jc w:val="both"/>
        <w:rPr>
          <w:rFonts w:ascii="Calibri" w:hAnsi="Calibri"/>
          <w:sz w:val="18"/>
          <w:szCs w:val="18"/>
        </w:rPr>
      </w:pPr>
      <w:r w:rsidRPr="00BF0267">
        <w:rPr>
          <w:rFonts w:ascii="Calibri" w:hAnsi="Calibri"/>
          <w:sz w:val="18"/>
          <w:szCs w:val="18"/>
        </w:rPr>
        <w:t>Art.  7 paragraph 1</w:t>
      </w:r>
      <w:r w:rsidRPr="00BF0267">
        <w:rPr>
          <w:rFonts w:ascii="Calibri" w:hAnsi="Calibri"/>
          <w:sz w:val="18"/>
          <w:szCs w:val="18"/>
        </w:rPr>
        <w:tab/>
        <w:t>Nothing in this Convention shall be deemed to impair the right of the master of a ship to require a seafarer to perform  any hours of work necessary for the immediate safety of the ship, persons  on board  or cargo,  or for the purpose  of giving assistance  to other  ships or persons  in distress at sea.</w:t>
      </w:r>
    </w:p>
    <w:p w14:paraId="49F6734B" w14:textId="77777777" w:rsidR="00BF0267" w:rsidRPr="00BF0267" w:rsidRDefault="00BF0267" w:rsidP="00BF0267">
      <w:pPr>
        <w:spacing w:after="0" w:line="251" w:lineRule="auto"/>
        <w:ind w:left="1560" w:right="66" w:hanging="1560"/>
        <w:jc w:val="both"/>
        <w:rPr>
          <w:rFonts w:ascii="Calibri" w:hAnsi="Calibri"/>
          <w:sz w:val="18"/>
          <w:szCs w:val="18"/>
        </w:rPr>
      </w:pPr>
      <w:r w:rsidRPr="00BF0267">
        <w:rPr>
          <w:rFonts w:ascii="Calibri" w:hAnsi="Calibri"/>
          <w:sz w:val="18"/>
          <w:szCs w:val="18"/>
        </w:rPr>
        <w:t>Art.  7 paragraph 3</w:t>
      </w:r>
      <w:r w:rsidRPr="00BF0267">
        <w:rPr>
          <w:rFonts w:ascii="Calibri" w:hAnsi="Calibri"/>
          <w:sz w:val="18"/>
          <w:szCs w:val="18"/>
        </w:rPr>
        <w:tab/>
        <w:t>As soon as practicable after the normal  situation has been restored,  the master  shall ensure that  any seafarers  who have performed  work in a scheduled rest period are provided  with an adequate period  of rest.</w:t>
      </w:r>
    </w:p>
    <w:p w14:paraId="0F31A7A6" w14:textId="77777777" w:rsidR="00606DBC" w:rsidRPr="00BF0267" w:rsidRDefault="00606DBC" w:rsidP="00BF0267">
      <w:pPr>
        <w:spacing w:after="0" w:line="240" w:lineRule="auto"/>
        <w:ind w:right="-20"/>
        <w:jc w:val="both"/>
        <w:rPr>
          <w:rFonts w:cstheme="minorHAnsi"/>
          <w:sz w:val="18"/>
          <w:szCs w:val="18"/>
        </w:rPr>
      </w:pPr>
    </w:p>
    <w:p w14:paraId="6F5C9C8B" w14:textId="77777777" w:rsidR="00BF0267" w:rsidRPr="00BF0267" w:rsidRDefault="00BF0267" w:rsidP="00BF0267">
      <w:pPr>
        <w:spacing w:after="0" w:line="251" w:lineRule="auto"/>
        <w:ind w:left="1735" w:right="66" w:hanging="1735"/>
        <w:jc w:val="both"/>
        <w:rPr>
          <w:rFonts w:ascii="Calibri" w:hAnsi="Calibri"/>
          <w:b/>
          <w:bCs/>
          <w:sz w:val="19"/>
          <w:szCs w:val="19"/>
        </w:rPr>
      </w:pPr>
      <w:r w:rsidRPr="00BF0267">
        <w:rPr>
          <w:rFonts w:ascii="Calibri" w:hAnsi="Calibri"/>
          <w:b/>
          <w:bCs/>
          <w:sz w:val="19"/>
          <w:szCs w:val="19"/>
        </w:rPr>
        <w:t>STCW Convention</w:t>
      </w:r>
    </w:p>
    <w:p w14:paraId="4EEE62CD" w14:textId="77777777" w:rsidR="00BF0267" w:rsidRPr="00BF0267" w:rsidRDefault="00BF0267" w:rsidP="00BF0267">
      <w:pPr>
        <w:spacing w:after="0" w:line="110" w:lineRule="exact"/>
        <w:jc w:val="both"/>
        <w:rPr>
          <w:rFonts w:cstheme="minorHAnsi"/>
          <w:sz w:val="18"/>
          <w:szCs w:val="18"/>
        </w:rPr>
      </w:pPr>
    </w:p>
    <w:p w14:paraId="2A51384D" w14:textId="588DF51F" w:rsidR="00BF0267" w:rsidRPr="00BF0267" w:rsidRDefault="0088739A" w:rsidP="00BF0267">
      <w:pPr>
        <w:spacing w:after="0" w:line="251" w:lineRule="auto"/>
        <w:ind w:left="1735" w:right="66" w:hanging="1735"/>
        <w:jc w:val="both"/>
        <w:rPr>
          <w:rFonts w:ascii="Calibri" w:hAnsi="Calibri"/>
          <w:b/>
          <w:bCs/>
          <w:sz w:val="18"/>
          <w:szCs w:val="18"/>
        </w:rPr>
      </w:pPr>
      <w:r>
        <w:rPr>
          <w:rFonts w:ascii="Calibri" w:hAnsi="Calibri"/>
          <w:b/>
          <w:bCs/>
          <w:sz w:val="18"/>
          <w:szCs w:val="18"/>
        </w:rPr>
        <w:t xml:space="preserve">Section A-VIII/1 </w:t>
      </w:r>
      <w:r w:rsidR="00BF0267" w:rsidRPr="00BF0267">
        <w:rPr>
          <w:rFonts w:ascii="Calibri" w:hAnsi="Calibri"/>
          <w:b/>
          <w:bCs/>
          <w:sz w:val="18"/>
          <w:szCs w:val="18"/>
        </w:rPr>
        <w:t>of the STCW Code (mandatory)</w:t>
      </w:r>
    </w:p>
    <w:p w14:paraId="08E9B60C" w14:textId="77777777" w:rsidR="00BF0267" w:rsidRPr="00BF0267" w:rsidRDefault="00BF0267" w:rsidP="00BF0267">
      <w:pPr>
        <w:spacing w:after="0" w:line="110" w:lineRule="exact"/>
        <w:jc w:val="both"/>
        <w:rPr>
          <w:rFonts w:cstheme="minorHAnsi"/>
          <w:sz w:val="18"/>
          <w:szCs w:val="18"/>
        </w:rPr>
      </w:pPr>
    </w:p>
    <w:p w14:paraId="08F99632" w14:textId="486C3DD5" w:rsidR="00BF0267" w:rsidRPr="00BF0267" w:rsidRDefault="00BF0267" w:rsidP="00BF0267">
      <w:pPr>
        <w:pStyle w:val="ListParagraph"/>
        <w:numPr>
          <w:ilvl w:val="0"/>
          <w:numId w:val="3"/>
        </w:numPr>
        <w:spacing w:after="120" w:line="251" w:lineRule="auto"/>
        <w:ind w:left="284" w:right="66" w:hanging="284"/>
        <w:jc w:val="both"/>
        <w:rPr>
          <w:rFonts w:ascii="Calibri" w:hAnsi="Calibri"/>
          <w:sz w:val="18"/>
          <w:szCs w:val="18"/>
        </w:rPr>
      </w:pPr>
      <w:r w:rsidRPr="00BF0267">
        <w:rPr>
          <w:rFonts w:ascii="Calibri" w:hAnsi="Calibri"/>
          <w:sz w:val="18"/>
          <w:szCs w:val="18"/>
        </w:rPr>
        <w:t>All persons who are assigned duty as officer in charge of a watch or as a rating forming par</w:t>
      </w:r>
      <w:r w:rsidR="0088739A">
        <w:rPr>
          <w:rFonts w:ascii="Calibri" w:hAnsi="Calibri"/>
          <w:sz w:val="18"/>
          <w:szCs w:val="18"/>
        </w:rPr>
        <w:t xml:space="preserve">t of a watch shall be provided </w:t>
      </w:r>
      <w:r w:rsidRPr="00BF0267">
        <w:rPr>
          <w:rFonts w:ascii="Calibri" w:hAnsi="Calibri"/>
          <w:sz w:val="18"/>
          <w:szCs w:val="18"/>
        </w:rPr>
        <w:t>a minimum of 10 hours rest in any 24-hour period.</w:t>
      </w:r>
    </w:p>
    <w:p w14:paraId="6A03B99A" w14:textId="086B4813" w:rsidR="00BF0267" w:rsidRPr="00BF0267" w:rsidRDefault="0088739A" w:rsidP="00BF0267">
      <w:pPr>
        <w:pStyle w:val="ListParagraph"/>
        <w:numPr>
          <w:ilvl w:val="0"/>
          <w:numId w:val="3"/>
        </w:numPr>
        <w:spacing w:after="120" w:line="251" w:lineRule="auto"/>
        <w:ind w:left="284" w:right="66" w:hanging="284"/>
        <w:jc w:val="both"/>
        <w:rPr>
          <w:rFonts w:ascii="Calibri" w:hAnsi="Calibri"/>
          <w:sz w:val="18"/>
          <w:szCs w:val="18"/>
        </w:rPr>
      </w:pPr>
      <w:r>
        <w:rPr>
          <w:rFonts w:ascii="Calibri" w:hAnsi="Calibri"/>
          <w:sz w:val="18"/>
          <w:szCs w:val="18"/>
        </w:rPr>
        <w:t>The hours</w:t>
      </w:r>
      <w:r w:rsidR="00BF0267" w:rsidRPr="00BF0267">
        <w:rPr>
          <w:rFonts w:ascii="Calibri" w:hAnsi="Calibri"/>
          <w:sz w:val="18"/>
          <w:szCs w:val="18"/>
        </w:rPr>
        <w:t xml:space="preserve"> of rest m</w:t>
      </w:r>
      <w:r>
        <w:rPr>
          <w:rFonts w:ascii="Calibri" w:hAnsi="Calibri"/>
          <w:sz w:val="18"/>
          <w:szCs w:val="18"/>
        </w:rPr>
        <w:t xml:space="preserve">ay be divided into no more than two periods, </w:t>
      </w:r>
      <w:r w:rsidR="00BF0267" w:rsidRPr="00BF0267">
        <w:rPr>
          <w:rFonts w:ascii="Calibri" w:hAnsi="Calibri"/>
          <w:sz w:val="18"/>
          <w:szCs w:val="18"/>
        </w:rPr>
        <w:t xml:space="preserve">one of </w:t>
      </w:r>
      <w:r>
        <w:rPr>
          <w:rFonts w:ascii="Calibri" w:hAnsi="Calibri"/>
          <w:sz w:val="18"/>
          <w:szCs w:val="18"/>
        </w:rPr>
        <w:t>which shall be at least 6 hours</w:t>
      </w:r>
      <w:r w:rsidR="00BF0267" w:rsidRPr="00BF0267">
        <w:rPr>
          <w:rFonts w:ascii="Calibri" w:hAnsi="Calibri"/>
          <w:sz w:val="18"/>
          <w:szCs w:val="18"/>
        </w:rPr>
        <w:t xml:space="preserve"> in length.</w:t>
      </w:r>
    </w:p>
    <w:p w14:paraId="2BF4470D" w14:textId="14DFF236" w:rsidR="00BF0267" w:rsidRPr="00BF0267" w:rsidRDefault="00BF0267" w:rsidP="00BF0267">
      <w:pPr>
        <w:pStyle w:val="ListParagraph"/>
        <w:numPr>
          <w:ilvl w:val="0"/>
          <w:numId w:val="3"/>
        </w:numPr>
        <w:spacing w:after="120" w:line="251" w:lineRule="auto"/>
        <w:ind w:left="284" w:right="66" w:hanging="284"/>
        <w:jc w:val="both"/>
        <w:rPr>
          <w:rFonts w:ascii="Calibri" w:hAnsi="Calibri"/>
          <w:sz w:val="18"/>
          <w:szCs w:val="18"/>
        </w:rPr>
      </w:pPr>
      <w:r w:rsidRPr="00BF0267">
        <w:rPr>
          <w:rFonts w:ascii="Calibri" w:hAnsi="Calibri"/>
          <w:sz w:val="18"/>
          <w:szCs w:val="18"/>
        </w:rPr>
        <w:t xml:space="preserve">The requirements for rest periods laid down </w:t>
      </w:r>
      <w:r w:rsidR="0088739A">
        <w:rPr>
          <w:rFonts w:ascii="Calibri" w:hAnsi="Calibri"/>
          <w:sz w:val="18"/>
          <w:szCs w:val="18"/>
        </w:rPr>
        <w:t>in paragraph 1 and 2 need not</w:t>
      </w:r>
      <w:r w:rsidRPr="00BF0267">
        <w:rPr>
          <w:rFonts w:ascii="Calibri" w:hAnsi="Calibri"/>
          <w:sz w:val="18"/>
          <w:szCs w:val="18"/>
        </w:rPr>
        <w:t xml:space="preserve"> be maintained in the case of an </w:t>
      </w:r>
      <w:r w:rsidR="0088739A">
        <w:rPr>
          <w:rFonts w:ascii="Calibri" w:hAnsi="Calibri"/>
          <w:sz w:val="18"/>
          <w:szCs w:val="18"/>
        </w:rPr>
        <w:t xml:space="preserve">emergency or drill or in other overriding </w:t>
      </w:r>
      <w:r w:rsidRPr="00BF0267">
        <w:rPr>
          <w:rFonts w:ascii="Calibri" w:hAnsi="Calibri"/>
          <w:sz w:val="18"/>
          <w:szCs w:val="18"/>
        </w:rPr>
        <w:t>operational conditions.</w:t>
      </w:r>
    </w:p>
    <w:p w14:paraId="55568C19" w14:textId="2FD351F8" w:rsidR="00BF0267" w:rsidRPr="00BF0267" w:rsidRDefault="00BF0267" w:rsidP="00BF0267">
      <w:pPr>
        <w:pStyle w:val="ListParagraph"/>
        <w:numPr>
          <w:ilvl w:val="0"/>
          <w:numId w:val="3"/>
        </w:numPr>
        <w:spacing w:after="120" w:line="251" w:lineRule="auto"/>
        <w:ind w:left="284" w:right="66" w:hanging="284"/>
        <w:jc w:val="both"/>
        <w:rPr>
          <w:rFonts w:ascii="Calibri" w:hAnsi="Calibri"/>
          <w:sz w:val="18"/>
          <w:szCs w:val="18"/>
        </w:rPr>
      </w:pPr>
      <w:r w:rsidRPr="00BF0267">
        <w:rPr>
          <w:rFonts w:ascii="Calibri" w:hAnsi="Calibri"/>
          <w:sz w:val="18"/>
          <w:szCs w:val="18"/>
        </w:rPr>
        <w:t>Notwithstanding the provisions  of paragraphs 1 and 2, the minimum  period of 10 hours may be reduced to not less than 6 consecutive hours provided  that any such reduction shall not  extend beyond  2 days and not  less than  70 hours  of rest are provided  each 7-day period.</w:t>
      </w:r>
    </w:p>
    <w:p w14:paraId="744974C5" w14:textId="7AADC71C" w:rsidR="00BF0267" w:rsidRDefault="0088739A" w:rsidP="00BF0267">
      <w:pPr>
        <w:pStyle w:val="ListParagraph"/>
        <w:numPr>
          <w:ilvl w:val="0"/>
          <w:numId w:val="3"/>
        </w:numPr>
        <w:spacing w:after="0" w:line="251" w:lineRule="auto"/>
        <w:ind w:left="284" w:right="66" w:hanging="284"/>
        <w:jc w:val="both"/>
        <w:rPr>
          <w:rFonts w:ascii="Calibri" w:hAnsi="Calibri"/>
          <w:sz w:val="18"/>
          <w:szCs w:val="18"/>
        </w:rPr>
      </w:pPr>
      <w:r>
        <w:rPr>
          <w:rFonts w:ascii="Calibri" w:hAnsi="Calibri"/>
          <w:sz w:val="18"/>
          <w:szCs w:val="18"/>
        </w:rPr>
        <w:t xml:space="preserve">Administrations shall require that watch schedules be posted </w:t>
      </w:r>
      <w:r w:rsidR="00BF0267" w:rsidRPr="00BF0267">
        <w:rPr>
          <w:rFonts w:ascii="Calibri" w:hAnsi="Calibri"/>
          <w:sz w:val="18"/>
          <w:szCs w:val="18"/>
        </w:rPr>
        <w:t xml:space="preserve">where they are easily accessible. </w:t>
      </w:r>
    </w:p>
    <w:p w14:paraId="3AB25606" w14:textId="77777777" w:rsidR="00BF0267" w:rsidRPr="00BF0267" w:rsidRDefault="00BF0267" w:rsidP="00BF0267">
      <w:pPr>
        <w:spacing w:after="0" w:line="251" w:lineRule="auto"/>
        <w:ind w:right="66"/>
        <w:jc w:val="both"/>
        <w:rPr>
          <w:rFonts w:ascii="Calibri" w:hAnsi="Calibri"/>
          <w:sz w:val="18"/>
          <w:szCs w:val="18"/>
        </w:rPr>
      </w:pPr>
    </w:p>
    <w:p w14:paraId="411193AA" w14:textId="6AAAC7F1" w:rsidR="00BF0267" w:rsidRDefault="0088739A" w:rsidP="00BF0267">
      <w:pPr>
        <w:spacing w:after="0" w:line="251" w:lineRule="auto"/>
        <w:ind w:left="1735" w:right="66" w:hanging="1735"/>
        <w:jc w:val="both"/>
        <w:rPr>
          <w:rFonts w:ascii="Calibri" w:hAnsi="Calibri"/>
          <w:b/>
          <w:bCs/>
          <w:sz w:val="18"/>
          <w:szCs w:val="18"/>
        </w:rPr>
      </w:pPr>
      <w:r>
        <w:rPr>
          <w:rFonts w:ascii="Calibri" w:hAnsi="Calibri"/>
          <w:b/>
          <w:bCs/>
          <w:sz w:val="18"/>
          <w:szCs w:val="18"/>
        </w:rPr>
        <w:t xml:space="preserve">Section B-VIII/1 of the STCW </w:t>
      </w:r>
      <w:r w:rsidR="00BF0267" w:rsidRPr="00BF0267">
        <w:rPr>
          <w:rFonts w:ascii="Calibri" w:hAnsi="Calibri"/>
          <w:b/>
          <w:bCs/>
          <w:sz w:val="18"/>
          <w:szCs w:val="18"/>
        </w:rPr>
        <w:t>Code (guidance)</w:t>
      </w:r>
    </w:p>
    <w:p w14:paraId="6AB64F35" w14:textId="77777777" w:rsidR="00BF0267" w:rsidRPr="00BF0267" w:rsidRDefault="00BF0267" w:rsidP="00BF0267">
      <w:pPr>
        <w:spacing w:after="0" w:line="110" w:lineRule="exact"/>
        <w:jc w:val="both"/>
        <w:rPr>
          <w:rFonts w:ascii="Calibri" w:hAnsi="Calibri"/>
          <w:b/>
          <w:bCs/>
          <w:sz w:val="18"/>
          <w:szCs w:val="18"/>
        </w:rPr>
      </w:pPr>
    </w:p>
    <w:p w14:paraId="5A5AC263" w14:textId="464FF494" w:rsidR="00BF0267" w:rsidRPr="00BF0267" w:rsidRDefault="00BF0267" w:rsidP="00BF0267">
      <w:pPr>
        <w:pStyle w:val="ListParagraph"/>
        <w:numPr>
          <w:ilvl w:val="0"/>
          <w:numId w:val="4"/>
        </w:numPr>
        <w:spacing w:after="120" w:line="251" w:lineRule="auto"/>
        <w:ind w:left="284" w:right="66" w:hanging="284"/>
        <w:jc w:val="both"/>
        <w:rPr>
          <w:rFonts w:ascii="Calibri" w:hAnsi="Calibri"/>
          <w:sz w:val="18"/>
          <w:szCs w:val="18"/>
        </w:rPr>
      </w:pPr>
      <w:r w:rsidRPr="00BF0267">
        <w:rPr>
          <w:rFonts w:ascii="Calibri" w:hAnsi="Calibri"/>
          <w:sz w:val="18"/>
          <w:szCs w:val="18"/>
        </w:rPr>
        <w:t>In applying  regulation VIII/1,  the following should  be taken  into account:</w:t>
      </w:r>
    </w:p>
    <w:p w14:paraId="37AC3F36" w14:textId="604352D2" w:rsidR="00BF0267" w:rsidRPr="00BF0267" w:rsidRDefault="0088739A" w:rsidP="00BF0267">
      <w:pPr>
        <w:pStyle w:val="ListParagraph"/>
        <w:numPr>
          <w:ilvl w:val="0"/>
          <w:numId w:val="5"/>
        </w:numPr>
        <w:spacing w:after="120" w:line="251" w:lineRule="auto"/>
        <w:ind w:right="66"/>
        <w:jc w:val="both"/>
        <w:rPr>
          <w:rFonts w:ascii="Calibri" w:hAnsi="Calibri"/>
          <w:sz w:val="18"/>
          <w:szCs w:val="18"/>
        </w:rPr>
      </w:pPr>
      <w:r>
        <w:rPr>
          <w:rFonts w:ascii="Calibri" w:hAnsi="Calibri"/>
          <w:sz w:val="18"/>
          <w:szCs w:val="18"/>
        </w:rPr>
        <w:t>provisions</w:t>
      </w:r>
      <w:r w:rsidR="00BF0267" w:rsidRPr="00BF0267">
        <w:rPr>
          <w:rFonts w:ascii="Calibri" w:hAnsi="Calibri"/>
          <w:sz w:val="18"/>
          <w:szCs w:val="18"/>
        </w:rPr>
        <w:t xml:space="preserve"> made to prevent fatigue should ensure that excessive or unreasonable overall working hours are not undertaken. In particular, the minimum  rest periods  specified in section A-VIII/1  should  not  be interpreted as implying that  all other  hours  may be devoted  to watchkeeping or other  duties;</w:t>
      </w:r>
    </w:p>
    <w:p w14:paraId="4032374D" w14:textId="53B982A7" w:rsidR="00BF0267" w:rsidRPr="00BF0267" w:rsidRDefault="00BF0267" w:rsidP="00BF0267">
      <w:pPr>
        <w:pStyle w:val="ListParagraph"/>
        <w:numPr>
          <w:ilvl w:val="0"/>
          <w:numId w:val="5"/>
        </w:numPr>
        <w:spacing w:after="120" w:line="251" w:lineRule="auto"/>
        <w:ind w:right="66"/>
        <w:jc w:val="both"/>
        <w:rPr>
          <w:rFonts w:ascii="Calibri" w:hAnsi="Calibri"/>
          <w:sz w:val="18"/>
          <w:szCs w:val="18"/>
        </w:rPr>
      </w:pPr>
      <w:r w:rsidRPr="00BF0267">
        <w:rPr>
          <w:rFonts w:ascii="Calibri" w:hAnsi="Calibri"/>
          <w:sz w:val="18"/>
          <w:szCs w:val="18"/>
        </w:rPr>
        <w:t>that  the frequenc</w:t>
      </w:r>
      <w:r w:rsidR="0088739A">
        <w:rPr>
          <w:rFonts w:ascii="Calibri" w:hAnsi="Calibri"/>
          <w:sz w:val="18"/>
          <w:szCs w:val="18"/>
        </w:rPr>
        <w:t xml:space="preserve">y and length of leave periods, </w:t>
      </w:r>
      <w:r w:rsidRPr="00BF0267">
        <w:rPr>
          <w:rFonts w:ascii="Calibri" w:hAnsi="Calibri"/>
          <w:sz w:val="18"/>
          <w:szCs w:val="18"/>
        </w:rPr>
        <w:t>and the granting  of compensatory leave, are material  factors  in preventing  fatigue from building  up over a period  of time; and</w:t>
      </w:r>
    </w:p>
    <w:p w14:paraId="4AD5FDAD" w14:textId="7045C8B8" w:rsidR="00BF0267" w:rsidRPr="00BF0267" w:rsidRDefault="00BF0267" w:rsidP="00BF0267">
      <w:pPr>
        <w:pStyle w:val="ListParagraph"/>
        <w:numPr>
          <w:ilvl w:val="0"/>
          <w:numId w:val="5"/>
        </w:numPr>
        <w:spacing w:after="120" w:line="251" w:lineRule="auto"/>
        <w:ind w:right="66"/>
        <w:jc w:val="both"/>
        <w:rPr>
          <w:rFonts w:ascii="Calibri" w:hAnsi="Calibri"/>
          <w:sz w:val="18"/>
          <w:szCs w:val="18"/>
        </w:rPr>
      </w:pPr>
      <w:r w:rsidRPr="00BF0267">
        <w:rPr>
          <w:rFonts w:ascii="Calibri" w:hAnsi="Calibri"/>
          <w:sz w:val="18"/>
          <w:szCs w:val="18"/>
        </w:rPr>
        <w:t>the provisions  may be varied for ships on short-sea  voyages, provided  special safety arrangements are put  in place.</w:t>
      </w:r>
    </w:p>
    <w:p w14:paraId="1FEABCE8" w14:textId="77777777" w:rsidR="000C7F8B" w:rsidRPr="00606DBC" w:rsidRDefault="000C7F8B" w:rsidP="00BF0267">
      <w:pPr>
        <w:spacing w:after="0" w:line="240" w:lineRule="auto"/>
        <w:ind w:right="-20"/>
        <w:rPr>
          <w:rFonts w:cstheme="minorHAnsi"/>
          <w:sz w:val="20"/>
          <w:szCs w:val="20"/>
        </w:rPr>
      </w:pPr>
    </w:p>
    <w:sectPr w:rsidR="000C7F8B" w:rsidRPr="00606DBC" w:rsidSect="0088739A">
      <w:headerReference w:type="default" r:id="rId8"/>
      <w:footerReference w:type="default" r:id="rId9"/>
      <w:pgSz w:w="16838" w:h="11906" w:orient="landscape"/>
      <w:pgMar w:top="720" w:right="720" w:bottom="1276"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8E28" w14:textId="77777777" w:rsidR="00B71426" w:rsidRDefault="00B71426" w:rsidP="000A79E8">
      <w:pPr>
        <w:spacing w:after="0" w:line="240" w:lineRule="auto"/>
      </w:pPr>
      <w:r>
        <w:separator/>
      </w:r>
    </w:p>
  </w:endnote>
  <w:endnote w:type="continuationSeparator" w:id="0">
    <w:p w14:paraId="51E6BB89" w14:textId="77777777" w:rsidR="00B71426" w:rsidRDefault="00B71426" w:rsidP="000A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0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4"/>
      <w:gridCol w:w="3969"/>
      <w:gridCol w:w="3544"/>
    </w:tblGrid>
    <w:tr w:rsidR="00606DBC" w14:paraId="6B8897FB" w14:textId="77777777" w:rsidTr="00BF0267">
      <w:trPr>
        <w:jc w:val="center"/>
      </w:trPr>
      <w:tc>
        <w:tcPr>
          <w:tcW w:w="7574" w:type="dxa"/>
        </w:tcPr>
        <w:p w14:paraId="6F4E6260" w14:textId="5644D567" w:rsidR="00606DBC" w:rsidRDefault="00D81D6F" w:rsidP="00BF0267">
          <w:pPr>
            <w:pStyle w:val="Header"/>
            <w:jc w:val="both"/>
          </w:pPr>
          <w:r>
            <w:rPr>
              <w:rFonts w:ascii="Calibri" w:hAnsi="Calibri" w:cs="Calibri"/>
              <w:sz w:val="18"/>
              <w:szCs w:val="18"/>
            </w:rPr>
            <w:t>PPO01-F06</w:t>
          </w:r>
          <w:r w:rsidR="00606DBC">
            <w:rPr>
              <w:rFonts w:ascii="Calibri" w:hAnsi="Calibri" w:cs="Calibri"/>
              <w:sz w:val="18"/>
              <w:szCs w:val="18"/>
            </w:rPr>
            <w:t xml:space="preserve"> – Table of </w:t>
          </w:r>
          <w:r w:rsidR="00BF0267">
            <w:rPr>
              <w:rFonts w:ascii="Calibri" w:hAnsi="Calibri" w:cs="Calibri"/>
              <w:sz w:val="18"/>
              <w:szCs w:val="18"/>
            </w:rPr>
            <w:t>shipboard working arrangements</w:t>
          </w:r>
        </w:p>
      </w:tc>
      <w:tc>
        <w:tcPr>
          <w:tcW w:w="3969" w:type="dxa"/>
        </w:tcPr>
        <w:p w14:paraId="2D20EEEB" w14:textId="77777777" w:rsidR="00606DBC" w:rsidRDefault="00606DBC" w:rsidP="00606DBC">
          <w:pPr>
            <w:pStyle w:val="Header"/>
          </w:pPr>
          <w:r w:rsidRPr="00876DEA">
            <w:rPr>
              <w:rFonts w:ascii="Calibri" w:hAnsi="Calibri" w:cs="Calibri"/>
              <w:sz w:val="18"/>
              <w:szCs w:val="18"/>
            </w:rPr>
            <w:t>Rev</w:t>
          </w:r>
          <w:r>
            <w:rPr>
              <w:rFonts w:ascii="Calibri" w:hAnsi="Calibri" w:cs="Calibri"/>
              <w:sz w:val="18"/>
              <w:szCs w:val="18"/>
            </w:rPr>
            <w:t>.00</w:t>
          </w:r>
        </w:p>
      </w:tc>
      <w:tc>
        <w:tcPr>
          <w:tcW w:w="3544" w:type="dxa"/>
        </w:tcPr>
        <w:p w14:paraId="637A7287" w14:textId="140469B6" w:rsidR="00606DBC" w:rsidRDefault="00606DBC" w:rsidP="00606DBC">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AE43AD">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AE43AD">
            <w:rPr>
              <w:rFonts w:ascii="Calibri" w:hAnsi="Calibri" w:cs="Calibri"/>
              <w:noProof/>
              <w:sz w:val="18"/>
              <w:szCs w:val="18"/>
            </w:rPr>
            <w:t>2</w:t>
          </w:r>
          <w:r w:rsidRPr="00876DEA">
            <w:rPr>
              <w:rFonts w:ascii="Calibri" w:hAnsi="Calibri" w:cs="Calibri"/>
              <w:sz w:val="18"/>
              <w:szCs w:val="18"/>
            </w:rPr>
            <w:fldChar w:fldCharType="end"/>
          </w:r>
        </w:p>
      </w:tc>
    </w:tr>
  </w:tbl>
  <w:p w14:paraId="0BF6C12B" w14:textId="1E3B4870" w:rsidR="000A79E8" w:rsidRPr="009E6466" w:rsidRDefault="000A79E8" w:rsidP="00606DBC">
    <w:pPr>
      <w:pStyle w:val="Head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74D1" w14:textId="77777777" w:rsidR="00B71426" w:rsidRDefault="00B71426" w:rsidP="000A79E8">
      <w:pPr>
        <w:spacing w:after="0" w:line="240" w:lineRule="auto"/>
      </w:pPr>
      <w:r>
        <w:separator/>
      </w:r>
    </w:p>
  </w:footnote>
  <w:footnote w:type="continuationSeparator" w:id="0">
    <w:p w14:paraId="7A3FA18B" w14:textId="77777777" w:rsidR="00B71426" w:rsidRDefault="00B71426" w:rsidP="000A79E8">
      <w:pPr>
        <w:spacing w:after="0" w:line="240" w:lineRule="auto"/>
      </w:pPr>
      <w:r>
        <w:continuationSeparator/>
      </w:r>
    </w:p>
  </w:footnote>
  <w:footnote w:id="1">
    <w:p w14:paraId="38CD2A07" w14:textId="12CF3B09" w:rsidR="00606DBC" w:rsidRPr="00BF0267" w:rsidRDefault="00606DBC" w:rsidP="00606DBC">
      <w:pPr>
        <w:pStyle w:val="FootnoteText"/>
        <w:jc w:val="both"/>
        <w:rPr>
          <w:sz w:val="16"/>
          <w:szCs w:val="16"/>
          <w:lang w:val="en-US"/>
        </w:rPr>
      </w:pPr>
      <w:r w:rsidRPr="00BF0267">
        <w:rPr>
          <w:rStyle w:val="FootnoteReference"/>
          <w:sz w:val="16"/>
          <w:szCs w:val="16"/>
        </w:rPr>
        <w:footnoteRef/>
      </w:r>
      <w:r w:rsidRPr="00BF0267">
        <w:rPr>
          <w:sz w:val="16"/>
          <w:szCs w:val="16"/>
        </w:rPr>
        <w:t xml:space="preserve"> The terms used in this model table are to appear in the working language or languages of the ship and in English.</w:t>
      </w:r>
    </w:p>
  </w:footnote>
  <w:footnote w:id="2">
    <w:p w14:paraId="2EF38C64" w14:textId="77777777" w:rsidR="00BF0267" w:rsidRPr="00FE078F" w:rsidRDefault="00BF0267" w:rsidP="00BF0267">
      <w:pPr>
        <w:pStyle w:val="FootnoteText"/>
        <w:rPr>
          <w:rFonts w:ascii="Calibri" w:hAnsi="Calibri"/>
          <w:sz w:val="16"/>
          <w:szCs w:val="16"/>
        </w:rPr>
      </w:pPr>
      <w:r w:rsidRPr="00FE078F">
        <w:rPr>
          <w:rFonts w:ascii="Calibri" w:hAnsi="Calibri"/>
          <w:sz w:val="16"/>
          <w:szCs w:val="16"/>
        </w:rPr>
        <w:footnoteRef/>
      </w:r>
      <w:r w:rsidRPr="00FE078F">
        <w:rPr>
          <w:rFonts w:ascii="Calibri" w:hAnsi="Calibri"/>
          <w:sz w:val="16"/>
          <w:szCs w:val="16"/>
        </w:rPr>
        <w:t xml:space="preserve"> See overleaf for</w:t>
      </w:r>
      <w:r w:rsidRPr="0040265C">
        <w:rPr>
          <w:rFonts w:ascii="Calibri" w:hAnsi="Calibri"/>
          <w:sz w:val="16"/>
          <w:szCs w:val="16"/>
        </w:rPr>
        <w:t xml:space="preserve"> selected extracts from ILO Convention 180 and the STCW Convention.</w:t>
      </w:r>
    </w:p>
  </w:footnote>
  <w:footnote w:id="3">
    <w:p w14:paraId="3B70F2C8" w14:textId="77777777" w:rsidR="00BF0267" w:rsidRPr="00FE078F" w:rsidRDefault="00BF0267" w:rsidP="00BF0267">
      <w:pPr>
        <w:pStyle w:val="FootnoteText"/>
        <w:rPr>
          <w:rFonts w:ascii="Calibri" w:hAnsi="Calibri"/>
          <w:sz w:val="16"/>
          <w:szCs w:val="16"/>
        </w:rPr>
      </w:pPr>
      <w:r w:rsidRPr="00FE078F">
        <w:rPr>
          <w:rFonts w:ascii="Calibri" w:hAnsi="Calibri"/>
          <w:sz w:val="16"/>
          <w:szCs w:val="16"/>
        </w:rPr>
        <w:footnoteRef/>
      </w:r>
      <w:r w:rsidRPr="00FE078F">
        <w:rPr>
          <w:rFonts w:ascii="Calibri" w:hAnsi="Calibri"/>
          <w:sz w:val="16"/>
          <w:szCs w:val="16"/>
        </w:rPr>
        <w:t xml:space="preserve"> Delete as applicable</w:t>
      </w:r>
    </w:p>
  </w:footnote>
  <w:footnote w:id="4">
    <w:p w14:paraId="4CB365BE" w14:textId="77777777" w:rsidR="00BF0267" w:rsidRPr="00FE078F" w:rsidRDefault="00BF0267" w:rsidP="00BF0267">
      <w:pPr>
        <w:pStyle w:val="FootnoteText"/>
        <w:rPr>
          <w:rFonts w:ascii="Calibri" w:hAnsi="Calibri"/>
          <w:sz w:val="16"/>
          <w:szCs w:val="16"/>
        </w:rPr>
      </w:pPr>
      <w:r w:rsidRPr="00FE078F">
        <w:rPr>
          <w:rFonts w:ascii="Calibri" w:hAnsi="Calibri"/>
          <w:sz w:val="16"/>
          <w:szCs w:val="16"/>
        </w:rPr>
        <w:footnoteRef/>
      </w:r>
      <w:r w:rsidRPr="00FE078F">
        <w:rPr>
          <w:rFonts w:ascii="Calibri" w:hAnsi="Calibri"/>
          <w:sz w:val="16"/>
          <w:szCs w:val="16"/>
        </w:rPr>
        <w:t xml:space="preserve"> </w:t>
      </w:r>
      <w:bookmarkStart w:id="3" w:name="_Hlk151198836"/>
      <w:r w:rsidRPr="00FE078F">
        <w:rPr>
          <w:rFonts w:ascii="Calibri" w:hAnsi="Calibri"/>
          <w:sz w:val="16"/>
          <w:szCs w:val="16"/>
        </w:rPr>
        <w:t>For those positions/ranks that are also listed in the Safe Manning Document (SMD), the terminology used should be the same as in the SMD.</w:t>
      </w:r>
      <w:bookmarkEnd w:id="3"/>
    </w:p>
  </w:footnote>
  <w:footnote w:id="5">
    <w:p w14:paraId="11C19206" w14:textId="339D2B66" w:rsidR="00BF0267" w:rsidRPr="00BF0267" w:rsidRDefault="00BF0267" w:rsidP="00BF0267">
      <w:pPr>
        <w:pStyle w:val="FootnoteText"/>
        <w:rPr>
          <w:rFonts w:ascii="Calibri" w:hAnsi="Calibri"/>
          <w:sz w:val="16"/>
          <w:szCs w:val="16"/>
        </w:rPr>
      </w:pPr>
      <w:r w:rsidRPr="00FE078F">
        <w:rPr>
          <w:rStyle w:val="FootnoteReference"/>
          <w:sz w:val="16"/>
          <w:szCs w:val="16"/>
        </w:rPr>
        <w:footnoteRef/>
      </w:r>
      <w:r w:rsidRPr="00FE078F">
        <w:rPr>
          <w:sz w:val="16"/>
          <w:szCs w:val="16"/>
        </w:rPr>
        <w:t xml:space="preserve"> </w:t>
      </w:r>
      <w:r w:rsidRPr="00FE078F">
        <w:rPr>
          <w:rFonts w:ascii="Calibri" w:hAnsi="Calibri"/>
          <w:sz w:val="16"/>
          <w:szCs w:val="16"/>
        </w:rPr>
        <w:t>For watchkeepers, the comments section may be used to indicate the anticipated number of hours to be devoted to unscheduled work and any such hours should be included in the appropriate total daily work hours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757"/>
    </w:tblGrid>
    <w:tr w:rsidR="00606DBC" w14:paraId="09C14BA9" w14:textId="77777777" w:rsidTr="0088739A">
      <w:trPr>
        <w:jc w:val="center"/>
      </w:trPr>
      <w:tc>
        <w:tcPr>
          <w:tcW w:w="2032" w:type="dxa"/>
        </w:tcPr>
        <w:p w14:paraId="07170CAE" w14:textId="77777777" w:rsidR="00606DBC" w:rsidRDefault="00606DBC" w:rsidP="00606DBC">
          <w:pPr>
            <w:pStyle w:val="Header"/>
            <w:jc w:val="both"/>
          </w:pPr>
          <w:r>
            <w:rPr>
              <w:noProof/>
              <w:lang w:val="en-US"/>
            </w:rPr>
            <w:drawing>
              <wp:inline distT="0" distB="0" distL="0" distR="0" wp14:anchorId="57805A79" wp14:editId="721BCA1E">
                <wp:extent cx="703580" cy="575945"/>
                <wp:effectExtent l="0" t="0" r="1270" b="0"/>
                <wp:docPr id="13"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14:paraId="1A4E2922" w14:textId="3B0523FC" w:rsidR="00606DBC" w:rsidRDefault="002203E6" w:rsidP="00606DBC">
          <w:pPr>
            <w:pStyle w:val="Header"/>
            <w:jc w:val="center"/>
          </w:pPr>
          <w:r>
            <w:rPr>
              <w:noProof/>
              <w:lang w:val="en-US"/>
            </w:rPr>
            <w:drawing>
              <wp:inline distT="0" distB="0" distL="0" distR="0" wp14:anchorId="4F4253A3" wp14:editId="3E8F6CEE">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757" w:type="dxa"/>
        </w:tcPr>
        <w:p w14:paraId="438CC07D" w14:textId="77777777" w:rsidR="00606DBC" w:rsidRDefault="00606DBC" w:rsidP="00606DBC">
          <w:pPr>
            <w:pStyle w:val="Header"/>
            <w:jc w:val="right"/>
          </w:pPr>
          <w:r>
            <w:rPr>
              <w:noProof/>
              <w:lang w:val="en-US"/>
            </w:rPr>
            <w:drawing>
              <wp:inline distT="0" distB="0" distL="0" distR="0" wp14:anchorId="5E516D3B" wp14:editId="74D847B9">
                <wp:extent cx="1078230" cy="575945"/>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7DC7E35D" w14:textId="64C6CF7D" w:rsidR="009E6466" w:rsidRDefault="009E6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1BA9"/>
    <w:multiLevelType w:val="hybridMultilevel"/>
    <w:tmpl w:val="CD3C0A90"/>
    <w:lvl w:ilvl="0" w:tplc="81E264C8">
      <w:start w:val="1"/>
      <w:numFmt w:val="decimal"/>
      <w:lvlText w:val="%1."/>
      <w:lvlJc w:val="left"/>
      <w:pPr>
        <w:ind w:left="1596" w:hanging="1596"/>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5256C"/>
    <w:multiLevelType w:val="hybridMultilevel"/>
    <w:tmpl w:val="AF9C769A"/>
    <w:lvl w:ilvl="0" w:tplc="81E264C8">
      <w:start w:val="1"/>
      <w:numFmt w:val="decimal"/>
      <w:lvlText w:val="%1."/>
      <w:lvlJc w:val="left"/>
      <w:pPr>
        <w:ind w:left="2316" w:hanging="15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E7884"/>
    <w:multiLevelType w:val="hybridMultilevel"/>
    <w:tmpl w:val="A658225A"/>
    <w:lvl w:ilvl="0" w:tplc="81E264C8">
      <w:start w:val="1"/>
      <w:numFmt w:val="decimal"/>
      <w:lvlText w:val="%1."/>
      <w:lvlJc w:val="left"/>
      <w:pPr>
        <w:ind w:left="1956" w:hanging="15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7699D"/>
    <w:multiLevelType w:val="hybridMultilevel"/>
    <w:tmpl w:val="F11C7A3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93A4851"/>
    <w:multiLevelType w:val="hybridMultilevel"/>
    <w:tmpl w:val="0F36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E1"/>
    <w:rsid w:val="000A79E8"/>
    <w:rsid w:val="000C7F8B"/>
    <w:rsid w:val="00106A00"/>
    <w:rsid w:val="0015680D"/>
    <w:rsid w:val="0019666C"/>
    <w:rsid w:val="001B0DA9"/>
    <w:rsid w:val="001C6E95"/>
    <w:rsid w:val="002203E6"/>
    <w:rsid w:val="00507500"/>
    <w:rsid w:val="005837A2"/>
    <w:rsid w:val="005B2B18"/>
    <w:rsid w:val="00606DBC"/>
    <w:rsid w:val="00674B14"/>
    <w:rsid w:val="006B7394"/>
    <w:rsid w:val="007417C6"/>
    <w:rsid w:val="00875CD8"/>
    <w:rsid w:val="0088739A"/>
    <w:rsid w:val="0094636A"/>
    <w:rsid w:val="009E6466"/>
    <w:rsid w:val="00AE43AD"/>
    <w:rsid w:val="00B52E7C"/>
    <w:rsid w:val="00B71426"/>
    <w:rsid w:val="00BF0267"/>
    <w:rsid w:val="00D81D6F"/>
    <w:rsid w:val="00EE762D"/>
    <w:rsid w:val="00F5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05E44"/>
  <w15:docId w15:val="{69453ABE-65A9-46AA-B025-F7232624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563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63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E1"/>
    <w:rPr>
      <w:rFonts w:ascii="Tahoma" w:hAnsi="Tahoma" w:cs="Tahoma"/>
      <w:sz w:val="16"/>
      <w:szCs w:val="16"/>
    </w:rPr>
  </w:style>
  <w:style w:type="character" w:customStyle="1" w:styleId="Heading2Char">
    <w:name w:val="Heading 2 Char"/>
    <w:basedOn w:val="DefaultParagraphFont"/>
    <w:link w:val="Heading2"/>
    <w:uiPriority w:val="9"/>
    <w:rsid w:val="00F563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63E1"/>
    <w:rPr>
      <w:rFonts w:asciiTheme="majorHAnsi" w:eastAsiaTheme="majorEastAsia" w:hAnsiTheme="majorHAnsi" w:cstheme="majorBidi"/>
      <w:b/>
      <w:bCs/>
      <w:color w:val="4F81BD" w:themeColor="accent1"/>
    </w:rPr>
  </w:style>
  <w:style w:type="table" w:styleId="TableGrid">
    <w:name w:val="Table Grid"/>
    <w:basedOn w:val="TableNormal"/>
    <w:uiPriority w:val="59"/>
    <w:rsid w:val="00F5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9E8"/>
  </w:style>
  <w:style w:type="paragraph" w:styleId="Footer">
    <w:name w:val="footer"/>
    <w:basedOn w:val="Normal"/>
    <w:link w:val="FooterChar"/>
    <w:uiPriority w:val="99"/>
    <w:unhideWhenUsed/>
    <w:rsid w:val="000A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9E8"/>
  </w:style>
  <w:style w:type="character" w:styleId="FootnoteReference">
    <w:name w:val="footnote reference"/>
    <w:basedOn w:val="DefaultParagraphFont"/>
    <w:uiPriority w:val="99"/>
    <w:semiHidden/>
    <w:unhideWhenUsed/>
    <w:rsid w:val="00606DBC"/>
    <w:rPr>
      <w:vertAlign w:val="superscript"/>
    </w:rPr>
  </w:style>
  <w:style w:type="paragraph" w:styleId="FootnoteText">
    <w:name w:val="footnote text"/>
    <w:basedOn w:val="Normal"/>
    <w:link w:val="FootnoteTextChar"/>
    <w:uiPriority w:val="99"/>
    <w:unhideWhenUsed/>
    <w:rsid w:val="00606DBC"/>
    <w:pPr>
      <w:spacing w:after="0" w:line="240" w:lineRule="auto"/>
    </w:pPr>
    <w:rPr>
      <w:sz w:val="20"/>
      <w:szCs w:val="20"/>
    </w:rPr>
  </w:style>
  <w:style w:type="character" w:customStyle="1" w:styleId="FootnoteTextChar">
    <w:name w:val="Footnote Text Char"/>
    <w:basedOn w:val="DefaultParagraphFont"/>
    <w:link w:val="FootnoteText"/>
    <w:uiPriority w:val="99"/>
    <w:rsid w:val="00606DBC"/>
    <w:rPr>
      <w:sz w:val="20"/>
      <w:szCs w:val="20"/>
    </w:rPr>
  </w:style>
  <w:style w:type="paragraph" w:styleId="ListParagraph">
    <w:name w:val="List Paragraph"/>
    <w:basedOn w:val="Normal"/>
    <w:uiPriority w:val="34"/>
    <w:qFormat/>
    <w:rsid w:val="00BF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DCF0-8889-454A-B376-503434DC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kasapena.mk@gmail.com</cp:lastModifiedBy>
  <cp:revision>10</cp:revision>
  <cp:lastPrinted>2021-09-03T13:59:00Z</cp:lastPrinted>
  <dcterms:created xsi:type="dcterms:W3CDTF">2021-09-03T13:59:00Z</dcterms:created>
  <dcterms:modified xsi:type="dcterms:W3CDTF">2025-03-25T15:51:00Z</dcterms:modified>
</cp:coreProperties>
</file>